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eastAsia="方正小标宋简体"/>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line="560" w:lineRule="exact"/>
        <w:ind w:firstLine="0" w:firstLineChars="0"/>
        <w:jc w:val="center"/>
        <w:textAlignment w:val="auto"/>
        <w:rPr>
          <w:rFonts w:hint="eastAsia" w:eastAsia="方正小标宋简体"/>
          <w:color w:val="000000" w:themeColor="text1"/>
          <w:sz w:val="44"/>
          <w:szCs w:val="44"/>
          <w:lang w:eastAsia="zh-CN"/>
          <w14:textFill>
            <w14:solidFill>
              <w14:schemeClr w14:val="tx1"/>
            </w14:solidFill>
          </w14:textFill>
        </w:rPr>
      </w:pPr>
      <w:r>
        <w:rPr>
          <w:rFonts w:hint="eastAsia" w:eastAsia="方正小标宋简体"/>
          <w:color w:val="000000" w:themeColor="text1"/>
          <w:sz w:val="44"/>
          <w:szCs w:val="44"/>
          <w:lang w:eastAsia="zh-CN"/>
          <w14:textFill>
            <w14:solidFill>
              <w14:schemeClr w14:val="tx1"/>
            </w14:solidFill>
          </w14:textFill>
        </w:rPr>
        <w:t>《支持佛山行业骨干企业开展产业并购</w:t>
      </w:r>
    </w:p>
    <w:p>
      <w:pPr>
        <w:keepNext w:val="0"/>
        <w:keepLines w:val="0"/>
        <w:pageBreakBefore w:val="0"/>
        <w:widowControl w:val="0"/>
        <w:kinsoku/>
        <w:wordWrap/>
        <w:overflowPunct/>
        <w:topLinePunct w:val="0"/>
        <w:autoSpaceDE/>
        <w:autoSpaceDN/>
        <w:bidi w:val="0"/>
        <w:adjustRightInd/>
        <w:snapToGrid/>
        <w:spacing w:before="0" w:line="560" w:lineRule="exact"/>
        <w:ind w:firstLine="0" w:firstLineChars="0"/>
        <w:jc w:val="center"/>
        <w:textAlignment w:val="auto"/>
        <w:rPr>
          <w:rFonts w:hint="eastAsia" w:ascii="微软雅黑" w:hAnsi="微软雅黑" w:eastAsia="方正小标宋简体" w:cs="微软雅黑"/>
          <w:i w:val="0"/>
          <w:caps w:val="0"/>
          <w:color w:val="333333"/>
          <w:spacing w:val="0"/>
          <w:sz w:val="24"/>
          <w:szCs w:val="24"/>
          <w:shd w:val="clear" w:fill="FFFFFF"/>
          <w:lang w:eastAsia="zh-CN"/>
        </w:rPr>
      </w:pPr>
      <w:r>
        <w:rPr>
          <w:rFonts w:hint="eastAsia" w:eastAsia="方正小标宋简体"/>
          <w:color w:val="000000" w:themeColor="text1"/>
          <w:sz w:val="44"/>
          <w:szCs w:val="44"/>
          <w:lang w:eastAsia="zh-CN"/>
          <w14:textFill>
            <w14:solidFill>
              <w14:schemeClr w14:val="tx1"/>
            </w14:solidFill>
          </w14:textFill>
        </w:rPr>
        <w:t>专项资金管理办法》政策解读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caps w:val="0"/>
          <w:color w:val="333333"/>
          <w:spacing w:val="0"/>
          <w:sz w:val="24"/>
          <w:szCs w:val="24"/>
          <w:shd w:val="clear" w:fill="FFFFFF"/>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eastAsia="仿宋_GB2312" w:hAnsiTheme="minorHAnsi" w:cstheme="minorBidi"/>
          <w:sz w:val="32"/>
          <w:szCs w:val="32"/>
        </w:rPr>
        <w:t>为</w:t>
      </w:r>
      <w:r>
        <w:rPr>
          <w:rFonts w:hint="eastAsia" w:eastAsia="仿宋_GB2312"/>
          <w:sz w:val="32"/>
          <w:szCs w:val="32"/>
        </w:rPr>
        <w:t>促进经济平稳增长，</w:t>
      </w:r>
      <w:r>
        <w:rPr>
          <w:rFonts w:hint="eastAsia" w:eastAsia="仿宋_GB2312"/>
          <w:sz w:val="32"/>
          <w:szCs w:val="32"/>
          <w:lang w:val="en-US" w:eastAsia="zh-CN"/>
        </w:rPr>
        <w:t>支持行业骨干企业</w:t>
      </w:r>
      <w:r>
        <w:rPr>
          <w:rFonts w:hint="eastAsia" w:eastAsia="仿宋_GB2312" w:hAnsiTheme="minorHAnsi"/>
          <w:sz w:val="32"/>
          <w:szCs w:val="32"/>
        </w:rPr>
        <w:t>围绕产业链上下游、关联领域进行并购，加快稳链补链强链，进一步做强做大</w:t>
      </w:r>
      <w:r>
        <w:rPr>
          <w:rFonts w:hint="eastAsia" w:eastAsia="仿宋_GB2312"/>
          <w:sz w:val="32"/>
          <w:szCs w:val="32"/>
          <w:lang w:eastAsia="zh-CN"/>
        </w:rPr>
        <w:t>，</w:t>
      </w:r>
      <w:r>
        <w:rPr>
          <w:rFonts w:hint="eastAsia" w:eastAsia="仿宋_GB2312"/>
          <w:sz w:val="32"/>
          <w:szCs w:val="32"/>
          <w:lang w:val="en-US" w:eastAsia="zh-CN"/>
        </w:rPr>
        <w:t>并</w:t>
      </w:r>
      <w:r>
        <w:rPr>
          <w:rFonts w:hint="eastAsia" w:ascii="仿宋_GB2312" w:hAnsi="仿宋_GB2312" w:eastAsia="仿宋_GB2312" w:cs="仿宋_GB2312"/>
          <w:sz w:val="32"/>
          <w:szCs w:val="32"/>
          <w:lang w:val="en-US" w:eastAsia="zh-CN"/>
        </w:rPr>
        <w:t>规范专项资金的使用和管理，</w:t>
      </w:r>
      <w:r>
        <w:rPr>
          <w:rFonts w:hint="eastAsia" w:eastAsia="仿宋_GB2312"/>
          <w:sz w:val="32"/>
          <w:szCs w:val="32"/>
          <w:lang w:eastAsia="zh-CN"/>
        </w:rPr>
        <w:t>佛山市金融工作局起草了</w:t>
      </w:r>
      <w:r>
        <w:rPr>
          <w:rFonts w:hint="eastAsia" w:ascii="仿宋_GB2312" w:hAnsi="Times New Roman" w:eastAsia="仿宋_GB2312" w:cs="Times New Roman"/>
          <w:kern w:val="2"/>
          <w:sz w:val="32"/>
          <w:szCs w:val="32"/>
          <w:lang w:val="en-US" w:eastAsia="zh-CN" w:bidi="ar-SA"/>
        </w:rPr>
        <w:t>《关于支持佛山行业骨干企业开展产业并购专项资金管理办法》（以下简称《办法》）。</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现将有关政策解读如下：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一、</w:t>
      </w:r>
      <w:r>
        <w:rPr>
          <w:rFonts w:hint="eastAsia" w:ascii="黑体" w:eastAsia="黑体"/>
          <w:color w:val="000000"/>
          <w:sz w:val="32"/>
          <w:szCs w:val="32"/>
        </w:rPr>
        <w:t>制定背景</w:t>
      </w:r>
      <w:r>
        <w:rPr>
          <w:rFonts w:hint="eastAsia" w:ascii="黑体" w:eastAsia="黑体"/>
          <w:color w:val="000000"/>
          <w:sz w:val="32"/>
          <w:szCs w:val="32"/>
          <w:lang w:val="en-US" w:eastAsia="zh-CN"/>
        </w:rPr>
        <w:t>及意义</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b w:val="0"/>
          <w:color w:val="000000" w:themeColor="text1"/>
          <w:kern w:val="2"/>
          <w:sz w:val="32"/>
          <w:szCs w:val="32"/>
          <w:shd w:val="clear"/>
          <w:lang w:val="en-US" w:eastAsia="zh-CN" w:bidi="ar-SA"/>
          <w14:textFill>
            <w14:solidFill>
              <w14:schemeClr w14:val="tx1"/>
            </w14:solidFill>
          </w14:textFill>
        </w:rPr>
        <w:t>产业并购是培育行业龙头促进企业做大做强的重要途径，是带动产业链整合加快产业转型升级的有力抓手。近年来，我市企业通过合并和股权、资产收购等多种形式积极进行整合，产业并购步伐不断加快</w:t>
      </w:r>
      <w:r>
        <w:rPr>
          <w:rFonts w:hint="eastAsia" w:ascii="仿宋_GB2312" w:hAnsi="仿宋_GB2312" w:eastAsia="仿宋_GB2312" w:cs="仿宋_GB2312"/>
          <w:b w:val="0"/>
          <w:bCs/>
          <w:sz w:val="32"/>
          <w:szCs w:val="32"/>
          <w:shd w:val="clear" w:color="auto" w:fill="FFFFFF"/>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为引导和支持我市行业骨干企业通过产业并购实现换道发展、转型升级，推动</w:t>
      </w:r>
      <w:r>
        <w:rPr>
          <w:rFonts w:hint="eastAsia" w:ascii="仿宋_GB2312" w:hAnsi="仿宋_GB2312" w:eastAsia="仿宋_GB2312" w:cs="仿宋_GB2312"/>
          <w:color w:val="000000" w:themeColor="text1"/>
          <w:sz w:val="32"/>
          <w:szCs w:val="32"/>
          <w:lang w:eastAsia="zh-CN"/>
          <w14:textFill>
            <w14:solidFill>
              <w14:schemeClr w14:val="tx1"/>
            </w14:solidFill>
          </w14:textFill>
        </w:rPr>
        <w:t>巩固传统优势产业，壮大优势支柱产业，构筑战略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性</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新兴产业，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市金融工作局根据《佛山市人民政府关于印发佛山市促进经济平稳增长若干政策措施的通知》等文件精神，起草了本</w:t>
      </w:r>
      <w:r>
        <w:rPr>
          <w:rFonts w:hint="eastAsia" w:ascii="仿宋_GB2312" w:hAnsi="Times New Roman" w:eastAsia="仿宋_GB2312" w:cs="Times New Roman"/>
          <w:kern w:val="2"/>
          <w:sz w:val="32"/>
          <w:szCs w:val="32"/>
          <w:lang w:val="en-US" w:eastAsia="zh-CN" w:bidi="ar-SA"/>
        </w:rPr>
        <w:t>《办法》。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二、主要制定依据</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华文仿宋" w:eastAsia="仿宋_GB2312"/>
          <w:color w:val="000000" w:themeColor="text1"/>
          <w:sz w:val="32"/>
          <w:szCs w:val="32"/>
          <w:lang w:eastAsia="zh-CN"/>
          <w14:textFill>
            <w14:solidFill>
              <w14:schemeClr w14:val="tx1"/>
            </w14:solidFill>
          </w14:textFill>
        </w:rPr>
      </w:pPr>
      <w:r>
        <w:rPr>
          <w:rFonts w:hint="eastAsia" w:ascii="仿宋_GB2312" w:hAnsi="华文仿宋" w:eastAsia="仿宋_GB2312"/>
          <w:color w:val="000000" w:themeColor="text1"/>
          <w:sz w:val="32"/>
          <w:szCs w:val="32"/>
          <w:lang w:val="en-US" w:eastAsia="zh-CN"/>
          <w14:textFill>
            <w14:solidFill>
              <w14:schemeClr w14:val="tx1"/>
            </w14:solidFill>
          </w14:textFill>
        </w:rPr>
        <w:t>1.</w:t>
      </w:r>
      <w:r>
        <w:rPr>
          <w:rFonts w:hint="eastAsia" w:ascii="仿宋_GB2312" w:hAnsi="华文仿宋" w:eastAsia="仿宋_GB2312"/>
          <w:color w:val="000000" w:themeColor="text1"/>
          <w:sz w:val="32"/>
          <w:szCs w:val="32"/>
          <w14:textFill>
            <w14:solidFill>
              <w14:schemeClr w14:val="tx1"/>
            </w14:solidFill>
          </w14:textFill>
        </w:rPr>
        <w:t>佛山市人民政府关于印发佛山市促进经济平稳增长若干政策措施的通知</w:t>
      </w:r>
      <w:r>
        <w:rPr>
          <w:rFonts w:hint="eastAsia" w:ascii="仿宋_GB2312" w:hAnsi="华文仿宋" w:eastAsia="仿宋_GB2312"/>
          <w:color w:val="000000" w:themeColor="text1"/>
          <w:sz w:val="32"/>
          <w:szCs w:val="32"/>
          <w:lang w:eastAsia="zh-CN"/>
          <w14:textFill>
            <w14:solidFill>
              <w14:schemeClr w14:val="tx1"/>
            </w14:solidFill>
          </w14:textFill>
        </w:rPr>
        <w:t>（佛府〔2022〕5号）</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仿宋_GB2312" w:hAnsi="华文仿宋" w:eastAsia="仿宋_GB2312"/>
          <w:color w:val="000000" w:themeColor="text1"/>
          <w:sz w:val="32"/>
          <w:szCs w:val="32"/>
          <w:highlight w:val="none"/>
          <w:lang w:val="en-US" w:eastAsia="zh-CN"/>
          <w14:textFill>
            <w14:solidFill>
              <w14:schemeClr w14:val="tx1"/>
            </w14:solidFill>
          </w14:textFill>
        </w:rPr>
      </w:pPr>
      <w:r>
        <w:rPr>
          <w:rFonts w:hint="eastAsia" w:ascii="仿宋_GB2312" w:hAnsi="华文仿宋" w:eastAsia="仿宋_GB2312"/>
          <w:color w:val="000000" w:themeColor="text1"/>
          <w:sz w:val="32"/>
          <w:szCs w:val="32"/>
          <w:highlight w:val="none"/>
          <w:lang w:val="en-US" w:eastAsia="zh-CN"/>
          <w14:textFill>
            <w14:solidFill>
              <w14:schemeClr w14:val="tx1"/>
            </w14:solidFill>
          </w14:textFill>
        </w:rPr>
        <w:t>2.佛山市人民政府办公室关于印发佛山市市级财政专项资金管理办法（试行）的通知（</w:t>
      </w:r>
      <w:r>
        <w:rPr>
          <w:rFonts w:hint="eastAsia" w:ascii="仿宋_GB2312" w:eastAsia="仿宋_GB2312"/>
          <w:sz w:val="32"/>
        </w:rPr>
        <w:t>佛府办函〔</w:t>
      </w:r>
      <w:r>
        <w:rPr>
          <w:rFonts w:ascii="仿宋_GB2312" w:eastAsia="仿宋_GB2312"/>
          <w:sz w:val="32"/>
        </w:rPr>
        <w:t>20</w:t>
      </w:r>
      <w:r>
        <w:rPr>
          <w:rFonts w:hint="eastAsia" w:ascii="仿宋_GB2312" w:hAnsi="宋体" w:eastAsia="仿宋_GB2312"/>
          <w:sz w:val="32"/>
          <w:szCs w:val="32"/>
        </w:rPr>
        <w:t>20</w:t>
      </w:r>
      <w:r>
        <w:rPr>
          <w:rFonts w:hint="eastAsia" w:ascii="仿宋_GB2312" w:eastAsia="仿宋_GB2312"/>
          <w:sz w:val="32"/>
        </w:rPr>
        <w:t>〕</w:t>
      </w:r>
      <w:r>
        <w:rPr>
          <w:rFonts w:hint="eastAsia" w:ascii="仿宋_GB2312" w:hAnsi="宋体" w:eastAsia="仿宋_GB2312"/>
          <w:sz w:val="32"/>
          <w:szCs w:val="32"/>
        </w:rPr>
        <w:t>16</w:t>
      </w:r>
      <w:r>
        <w:rPr>
          <w:rFonts w:hint="eastAsia" w:ascii="仿宋_GB2312" w:eastAsia="仿宋_GB2312"/>
          <w:sz w:val="32"/>
        </w:rPr>
        <w:t>号</w:t>
      </w:r>
      <w:r>
        <w:rPr>
          <w:rFonts w:hint="eastAsia" w:ascii="仿宋_GB2312" w:hAnsi="华文仿宋" w:eastAsia="仿宋_GB2312"/>
          <w:color w:val="000000" w:themeColor="text1"/>
          <w:sz w:val="32"/>
          <w:szCs w:val="32"/>
          <w:highlight w:val="none"/>
          <w:lang w:val="en-US" w:eastAsia="zh-CN"/>
          <w14:textFill>
            <w14:solidFill>
              <w14:schemeClr w14:val="tx1"/>
            </w14:solidFill>
          </w14:textFill>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default"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三、主要内容</w:t>
      </w:r>
    </w:p>
    <w:p>
      <w:pPr>
        <w:pStyle w:val="11"/>
        <w:keepNext w:val="0"/>
        <w:keepLines w:val="0"/>
        <w:pageBreakBefore w:val="0"/>
        <w:tabs>
          <w:tab w:val="left" w:pos="2518"/>
        </w:tabs>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《办法》一共分为七部分内容。</w:t>
      </w:r>
    </w:p>
    <w:p>
      <w:pPr>
        <w:pStyle w:val="11"/>
        <w:keepNext w:val="0"/>
        <w:keepLines w:val="0"/>
        <w:pageBreakBefore w:val="0"/>
        <w:tabs>
          <w:tab w:val="left" w:pos="2518"/>
        </w:tabs>
        <w:kinsoku/>
        <w:wordWrap/>
        <w:overflowPunct/>
        <w:topLinePunct w:val="0"/>
        <w:autoSpaceDE/>
        <w:autoSpaceDN/>
        <w:bidi w:val="0"/>
        <w:adjustRightInd w:val="0"/>
        <w:snapToGrid w:val="0"/>
        <w:spacing w:line="560" w:lineRule="exact"/>
        <w:ind w:firstLine="64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val="0"/>
          <w:bCs w:val="0"/>
          <w:sz w:val="32"/>
          <w:szCs w:val="32"/>
          <w:lang w:val="en-US" w:eastAsia="zh-CN"/>
        </w:rPr>
        <w:t>第一部分：明确了</w:t>
      </w:r>
      <w:r>
        <w:rPr>
          <w:rFonts w:ascii="Times New Roman" w:hAnsi="Times New Roman" w:eastAsia="仿宋_GB2312" w:cs="Times New Roman"/>
          <w:sz w:val="32"/>
          <w:szCs w:val="32"/>
        </w:rPr>
        <w:t>专项资金</w:t>
      </w:r>
      <w:r>
        <w:rPr>
          <w:rFonts w:hint="eastAsia" w:ascii="Times New Roman" w:hAnsi="Times New Roman" w:eastAsia="仿宋_GB2312" w:cs="Times New Roman"/>
          <w:sz w:val="32"/>
          <w:szCs w:val="32"/>
          <w:lang w:val="en-US" w:eastAsia="zh-CN"/>
        </w:rPr>
        <w:t>的</w:t>
      </w:r>
      <w:r>
        <w:rPr>
          <w:rFonts w:hint="eastAsia" w:eastAsia="仿宋_GB2312" w:cs="Times New Roman"/>
          <w:sz w:val="32"/>
          <w:szCs w:val="32"/>
          <w:lang w:val="en-US" w:eastAsia="zh-CN"/>
        </w:rPr>
        <w:t>制定依据、</w:t>
      </w:r>
      <w:r>
        <w:rPr>
          <w:rFonts w:hint="eastAsia" w:ascii="Times New Roman" w:hAnsi="Times New Roman" w:eastAsia="仿宋_GB2312" w:cs="Times New Roman"/>
          <w:sz w:val="32"/>
          <w:szCs w:val="32"/>
          <w:lang w:val="en-US" w:eastAsia="zh-CN"/>
        </w:rPr>
        <w:t>定义、使用原则以及</w:t>
      </w:r>
      <w:r>
        <w:rPr>
          <w:rFonts w:hint="eastAsia" w:eastAsia="仿宋_GB2312" w:cs="Times New Roman"/>
          <w:sz w:val="32"/>
          <w:szCs w:val="32"/>
          <w:lang w:val="en-US" w:eastAsia="zh-CN"/>
        </w:rPr>
        <w:t>行业骨干企业和产业并购的定义</w:t>
      </w:r>
      <w:r>
        <w:rPr>
          <w:rFonts w:hint="eastAsia" w:ascii="Times New Roman" w:hAnsi="Times New Roman" w:eastAsia="仿宋_GB2312" w:cs="Times New Roman"/>
          <w:sz w:val="32"/>
          <w:szCs w:val="32"/>
          <w:lang w:val="en-US" w:eastAsia="zh-CN"/>
        </w:rPr>
        <w:t>。</w:t>
      </w:r>
    </w:p>
    <w:p>
      <w:pPr>
        <w:pStyle w:val="11"/>
        <w:keepNext w:val="0"/>
        <w:keepLines w:val="0"/>
        <w:pageBreakBefore w:val="0"/>
        <w:tabs>
          <w:tab w:val="left" w:pos="2518"/>
        </w:tabs>
        <w:kinsoku/>
        <w:wordWrap/>
        <w:overflowPunct/>
        <w:topLinePunct w:val="0"/>
        <w:autoSpaceDE/>
        <w:autoSpaceDN/>
        <w:bidi w:val="0"/>
        <w:adjustRightInd w:val="0"/>
        <w:snapToGrid w:val="0"/>
        <w:spacing w:line="560" w:lineRule="exact"/>
        <w:ind w:firstLine="640"/>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第二部分：列明了专项资金的管理职责，其中，市金融工作局是主管部门，各区</w:t>
      </w:r>
      <w:r>
        <w:rPr>
          <w:rFonts w:hint="eastAsia" w:eastAsia="仿宋_GB2312"/>
          <w:color w:val="000000"/>
          <w:kern w:val="0"/>
          <w:sz w:val="32"/>
          <w:lang w:val="en-US" w:eastAsia="zh-CN"/>
        </w:rPr>
        <w:t>金融主管部门和同级财政部门按职能分工协助相关工作</w:t>
      </w:r>
      <w:r>
        <w:rPr>
          <w:rFonts w:hint="eastAsia" w:eastAsia="仿宋_GB2312" w:cs="Times New Roman"/>
          <w:sz w:val="32"/>
          <w:szCs w:val="32"/>
          <w:lang w:val="en-US" w:eastAsia="zh-CN"/>
        </w:rPr>
        <w:t>。</w:t>
      </w:r>
    </w:p>
    <w:p>
      <w:pPr>
        <w:pStyle w:val="11"/>
        <w:keepNext w:val="0"/>
        <w:keepLines w:val="0"/>
        <w:pageBreakBefore w:val="0"/>
        <w:tabs>
          <w:tab w:val="left" w:pos="2518"/>
        </w:tabs>
        <w:kinsoku/>
        <w:wordWrap/>
        <w:overflowPunct/>
        <w:topLinePunct w:val="0"/>
        <w:autoSpaceDE/>
        <w:autoSpaceDN/>
        <w:bidi w:val="0"/>
        <w:adjustRightInd w:val="0"/>
        <w:snapToGrid w:val="0"/>
        <w:spacing w:line="560" w:lineRule="exact"/>
        <w:ind w:firstLine="640"/>
        <w:textAlignment w:val="auto"/>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第</w:t>
      </w:r>
      <w:r>
        <w:rPr>
          <w:rFonts w:hint="eastAsia" w:eastAsia="仿宋_GB2312" w:cs="Times New Roman"/>
          <w:sz w:val="32"/>
          <w:szCs w:val="32"/>
          <w:lang w:val="en-US" w:eastAsia="zh-CN"/>
        </w:rPr>
        <w:t>三</w:t>
      </w:r>
      <w:r>
        <w:rPr>
          <w:rFonts w:hint="eastAsia" w:ascii="Times New Roman" w:hAnsi="Times New Roman" w:eastAsia="仿宋_GB2312" w:cs="Times New Roman"/>
          <w:sz w:val="32"/>
          <w:szCs w:val="32"/>
          <w:lang w:val="en-US" w:eastAsia="zh-CN"/>
        </w:rPr>
        <w:t>部分</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规定了专项资金的</w:t>
      </w:r>
      <w:r>
        <w:rPr>
          <w:rFonts w:hint="eastAsia" w:ascii="仿宋_GB2312" w:eastAsia="仿宋_GB2312"/>
          <w:sz w:val="32"/>
          <w:szCs w:val="32"/>
        </w:rPr>
        <w:t>适用对象</w:t>
      </w:r>
      <w:r>
        <w:rPr>
          <w:rFonts w:hint="eastAsia" w:ascii="仿宋_GB2312" w:eastAsia="仿宋_GB2312"/>
          <w:sz w:val="32"/>
          <w:szCs w:val="32"/>
          <w:lang w:val="en-US" w:eastAsia="zh-CN"/>
        </w:rPr>
        <w:t>为2022年7月4日—2025年7月3日期间成功实施并购的行业骨干企业</w:t>
      </w:r>
      <w:r>
        <w:rPr>
          <w:rFonts w:hint="eastAsia" w:eastAsia="仿宋_GB2312"/>
          <w:color w:val="000000"/>
          <w:sz w:val="32"/>
          <w:lang w:eastAsia="zh-CN"/>
        </w:rPr>
        <w:t>，</w:t>
      </w:r>
      <w:r>
        <w:rPr>
          <w:rFonts w:hint="eastAsia" w:eastAsia="仿宋_GB2312"/>
          <w:color w:val="000000"/>
          <w:sz w:val="32"/>
          <w:lang w:val="en-US" w:eastAsia="zh-CN"/>
        </w:rPr>
        <w:t>以及为行业骨干企业成功并购提供专业服务的中介机构，</w:t>
      </w:r>
      <w:r>
        <w:rPr>
          <w:rFonts w:hint="eastAsia" w:ascii="仿宋_GB2312" w:eastAsia="仿宋_GB2312"/>
          <w:sz w:val="32"/>
          <w:szCs w:val="32"/>
          <w:lang w:val="en-US" w:eastAsia="zh-CN"/>
        </w:rPr>
        <w:t>并对具体的</w:t>
      </w:r>
      <w:r>
        <w:rPr>
          <w:rFonts w:hint="eastAsia" w:ascii="仿宋_GB2312" w:eastAsia="仿宋_GB2312"/>
          <w:sz w:val="32"/>
          <w:szCs w:val="32"/>
        </w:rPr>
        <w:t>扶持标准</w:t>
      </w:r>
      <w:r>
        <w:rPr>
          <w:rFonts w:hint="eastAsia" w:ascii="仿宋_GB2312" w:eastAsia="仿宋_GB2312"/>
          <w:sz w:val="32"/>
          <w:szCs w:val="32"/>
          <w:lang w:val="en-US" w:eastAsia="zh-CN"/>
        </w:rPr>
        <w:t>和范围予以明确。</w:t>
      </w:r>
    </w:p>
    <w:p>
      <w:pPr>
        <w:pStyle w:val="11"/>
        <w:keepNext w:val="0"/>
        <w:keepLines w:val="0"/>
        <w:pageBreakBefore w:val="0"/>
        <w:tabs>
          <w:tab w:val="left" w:pos="2518"/>
        </w:tabs>
        <w:kinsoku/>
        <w:wordWrap/>
        <w:overflowPunct/>
        <w:topLinePunct w:val="0"/>
        <w:autoSpaceDE/>
        <w:autoSpaceDN/>
        <w:bidi w:val="0"/>
        <w:adjustRightInd w:val="0"/>
        <w:snapToGrid w:val="0"/>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第四部分：列明了专项资金的申报、审批和拨付流程，明确了各方的具体职责。</w:t>
      </w:r>
    </w:p>
    <w:p>
      <w:pPr>
        <w:pStyle w:val="11"/>
        <w:keepNext w:val="0"/>
        <w:keepLines w:val="0"/>
        <w:pageBreakBefore w:val="0"/>
        <w:tabs>
          <w:tab w:val="left" w:pos="2518"/>
        </w:tabs>
        <w:kinsoku/>
        <w:wordWrap/>
        <w:overflowPunct/>
        <w:topLinePunct w:val="0"/>
        <w:autoSpaceDE/>
        <w:autoSpaceDN/>
        <w:bidi w:val="0"/>
        <w:adjustRightInd w:val="0"/>
        <w:snapToGrid w:val="0"/>
        <w:spacing w:line="560" w:lineRule="exact"/>
        <w:ind w:firstLine="64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第五部分：提出加强对专项资金的绩效评价和监督检查。</w:t>
      </w:r>
    </w:p>
    <w:p>
      <w:pPr>
        <w:pStyle w:val="11"/>
        <w:keepNext w:val="0"/>
        <w:keepLines w:val="0"/>
        <w:pageBreakBefore w:val="0"/>
        <w:tabs>
          <w:tab w:val="left" w:pos="2518"/>
        </w:tabs>
        <w:kinsoku/>
        <w:wordWrap/>
        <w:overflowPunct/>
        <w:topLinePunct w:val="0"/>
        <w:autoSpaceDE/>
        <w:autoSpaceDN/>
        <w:bidi w:val="0"/>
        <w:adjustRightInd w:val="0"/>
        <w:snapToGrid w:val="0"/>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第六部分：要求企业对信息的真实性、完整性、有效性和合法性负责，明确企业违规申领须承担的法律责任。</w:t>
      </w:r>
    </w:p>
    <w:p>
      <w:pPr>
        <w:pStyle w:val="11"/>
        <w:keepNext w:val="0"/>
        <w:keepLines w:val="0"/>
        <w:pageBreakBefore w:val="0"/>
        <w:tabs>
          <w:tab w:val="left" w:pos="2518"/>
        </w:tabs>
        <w:kinsoku/>
        <w:wordWrap/>
        <w:overflowPunct/>
        <w:topLinePunct w:val="0"/>
        <w:autoSpaceDE/>
        <w:autoSpaceDN/>
        <w:bidi w:val="0"/>
        <w:adjustRightInd w:val="0"/>
        <w:snapToGrid w:val="0"/>
        <w:spacing w:line="560" w:lineRule="exact"/>
        <w:ind w:firstLine="640"/>
        <w:textAlignment w:val="auto"/>
        <w:rPr>
          <w:rFonts w:hint="default" w:eastAsia="宋体"/>
          <w:sz w:val="32"/>
          <w:szCs w:val="32"/>
          <w:lang w:val="en-US" w:eastAsia="zh-CN"/>
        </w:rPr>
      </w:pPr>
      <w:r>
        <w:rPr>
          <w:rFonts w:hint="eastAsia" w:ascii="仿宋_GB2312" w:eastAsia="仿宋_GB2312"/>
          <w:sz w:val="32"/>
          <w:szCs w:val="32"/>
          <w:lang w:val="en-US" w:eastAsia="zh-CN"/>
        </w:rPr>
        <w:t>第七部分：就</w:t>
      </w:r>
      <w:r>
        <w:rPr>
          <w:rFonts w:hint="eastAsia" w:ascii="仿宋_GB2312" w:eastAsia="仿宋_GB2312"/>
          <w:sz w:val="32"/>
          <w:szCs w:val="32"/>
        </w:rPr>
        <w:t>《办法》的补充事项</w:t>
      </w:r>
      <w:r>
        <w:rPr>
          <w:rFonts w:hint="eastAsia" w:ascii="仿宋_GB2312" w:eastAsia="仿宋_GB2312"/>
          <w:sz w:val="32"/>
          <w:szCs w:val="32"/>
          <w:lang w:eastAsia="zh-CN"/>
        </w:rPr>
        <w:t>、</w:t>
      </w:r>
      <w:r>
        <w:rPr>
          <w:rFonts w:hint="eastAsia" w:ascii="仿宋_GB2312" w:eastAsia="仿宋_GB2312"/>
          <w:sz w:val="32"/>
          <w:szCs w:val="32"/>
          <w:lang w:val="en-US" w:eastAsia="zh-CN"/>
        </w:rPr>
        <w:t>施行时间进行了说明</w:t>
      </w:r>
      <w:r>
        <w:rPr>
          <w:rFonts w:hint="eastAsia" w:ascii="仿宋_GB2312" w:hAnsi="仿宋_GB2312" w:eastAsia="仿宋_GB2312" w:cs="仿宋_GB2312"/>
          <w:color w:val="auto"/>
          <w:kern w:val="0"/>
          <w:sz w:val="32"/>
          <w:szCs w:val="32"/>
          <w:lang w:eastAsia="zh-CN"/>
        </w:rPr>
        <w:t>。</w:t>
      </w:r>
    </w:p>
    <w:p>
      <w:pPr>
        <w:pStyle w:val="11"/>
        <w:keepNext w:val="0"/>
        <w:keepLines w:val="0"/>
        <w:pageBreakBefore w:val="0"/>
        <w:tabs>
          <w:tab w:val="left" w:pos="2518"/>
        </w:tabs>
        <w:kinsoku/>
        <w:wordWrap/>
        <w:overflowPunct/>
        <w:topLinePunct w:val="0"/>
        <w:autoSpaceDE/>
        <w:autoSpaceDN/>
        <w:bidi w:val="0"/>
        <w:adjustRightInd w:val="0"/>
        <w:snapToGrid w:val="0"/>
        <w:spacing w:line="560" w:lineRule="exact"/>
        <w:ind w:firstLine="640"/>
        <w:textAlignment w:val="auto"/>
        <w:rPr>
          <w:rFonts w:hint="default" w:eastAsia="宋体"/>
          <w:sz w:val="32"/>
          <w:szCs w:val="32"/>
          <w:lang w:val="en-US" w:eastAsia="zh-CN"/>
        </w:rPr>
      </w:pPr>
    </w:p>
    <w:sectPr>
      <w:footerReference r:id="rId3" w:type="default"/>
      <w:pgSz w:w="11906" w:h="16838"/>
      <w:pgMar w:top="1383"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97BA2"/>
    <w:rsid w:val="007B2204"/>
    <w:rsid w:val="007F33C3"/>
    <w:rsid w:val="008928B7"/>
    <w:rsid w:val="00A27683"/>
    <w:rsid w:val="00F371A7"/>
    <w:rsid w:val="01451269"/>
    <w:rsid w:val="0147461D"/>
    <w:rsid w:val="018041B5"/>
    <w:rsid w:val="019A3447"/>
    <w:rsid w:val="02200F44"/>
    <w:rsid w:val="029C7FBE"/>
    <w:rsid w:val="02E4649B"/>
    <w:rsid w:val="02E826F9"/>
    <w:rsid w:val="03DD0A9A"/>
    <w:rsid w:val="0434082D"/>
    <w:rsid w:val="05B50AC0"/>
    <w:rsid w:val="06C4136E"/>
    <w:rsid w:val="06F149C5"/>
    <w:rsid w:val="06FA3CD5"/>
    <w:rsid w:val="07085B73"/>
    <w:rsid w:val="07241A61"/>
    <w:rsid w:val="07E7465A"/>
    <w:rsid w:val="080F45FC"/>
    <w:rsid w:val="08475180"/>
    <w:rsid w:val="084A6931"/>
    <w:rsid w:val="084E259F"/>
    <w:rsid w:val="08FF42FD"/>
    <w:rsid w:val="09C03647"/>
    <w:rsid w:val="09D91F99"/>
    <w:rsid w:val="0A3657B3"/>
    <w:rsid w:val="0A6B47C6"/>
    <w:rsid w:val="0AAD2427"/>
    <w:rsid w:val="0ABB7135"/>
    <w:rsid w:val="0B8F281E"/>
    <w:rsid w:val="0BD21E94"/>
    <w:rsid w:val="0BF66610"/>
    <w:rsid w:val="0C3A79DF"/>
    <w:rsid w:val="0C5D112E"/>
    <w:rsid w:val="0C7D6608"/>
    <w:rsid w:val="0CB82086"/>
    <w:rsid w:val="0D6B7AF1"/>
    <w:rsid w:val="0DC2168A"/>
    <w:rsid w:val="0DCE7DA9"/>
    <w:rsid w:val="0DD77657"/>
    <w:rsid w:val="0DE54859"/>
    <w:rsid w:val="0E506316"/>
    <w:rsid w:val="0E65588D"/>
    <w:rsid w:val="0EB51D11"/>
    <w:rsid w:val="0F6B2A13"/>
    <w:rsid w:val="0F9D1354"/>
    <w:rsid w:val="0FC203BB"/>
    <w:rsid w:val="0FE302E0"/>
    <w:rsid w:val="10421F48"/>
    <w:rsid w:val="107F2516"/>
    <w:rsid w:val="10897B5A"/>
    <w:rsid w:val="10A700FD"/>
    <w:rsid w:val="117E447D"/>
    <w:rsid w:val="11944FB4"/>
    <w:rsid w:val="11957729"/>
    <w:rsid w:val="127C247C"/>
    <w:rsid w:val="13634356"/>
    <w:rsid w:val="1369362A"/>
    <w:rsid w:val="137104B0"/>
    <w:rsid w:val="143A0100"/>
    <w:rsid w:val="147C210A"/>
    <w:rsid w:val="14AF7FE1"/>
    <w:rsid w:val="14C61A3E"/>
    <w:rsid w:val="14D50546"/>
    <w:rsid w:val="152C5435"/>
    <w:rsid w:val="154B6270"/>
    <w:rsid w:val="15B84D39"/>
    <w:rsid w:val="15FE58F6"/>
    <w:rsid w:val="160D4499"/>
    <w:rsid w:val="16213AEB"/>
    <w:rsid w:val="1658237B"/>
    <w:rsid w:val="167E0E71"/>
    <w:rsid w:val="168220B6"/>
    <w:rsid w:val="16977DEA"/>
    <w:rsid w:val="16C31270"/>
    <w:rsid w:val="16D623AC"/>
    <w:rsid w:val="17076901"/>
    <w:rsid w:val="17324007"/>
    <w:rsid w:val="185573E2"/>
    <w:rsid w:val="18850F24"/>
    <w:rsid w:val="18BE539A"/>
    <w:rsid w:val="18EE2893"/>
    <w:rsid w:val="19A65F64"/>
    <w:rsid w:val="19DB3592"/>
    <w:rsid w:val="1A3E2A95"/>
    <w:rsid w:val="1A4D6836"/>
    <w:rsid w:val="1A5D6588"/>
    <w:rsid w:val="1A6E4EE7"/>
    <w:rsid w:val="1AEE4BB3"/>
    <w:rsid w:val="1B09512B"/>
    <w:rsid w:val="1B1A33B4"/>
    <w:rsid w:val="1B1F7647"/>
    <w:rsid w:val="1B362066"/>
    <w:rsid w:val="1B546984"/>
    <w:rsid w:val="1B65766B"/>
    <w:rsid w:val="1BBC467F"/>
    <w:rsid w:val="1C205025"/>
    <w:rsid w:val="1CA862B7"/>
    <w:rsid w:val="1CEB7486"/>
    <w:rsid w:val="1CFA52AD"/>
    <w:rsid w:val="1D3F4D2F"/>
    <w:rsid w:val="1DD0683F"/>
    <w:rsid w:val="1DE17B7F"/>
    <w:rsid w:val="1E4A19FF"/>
    <w:rsid w:val="1EAC7AC5"/>
    <w:rsid w:val="1ECF65FD"/>
    <w:rsid w:val="1FA8568F"/>
    <w:rsid w:val="1FAA3824"/>
    <w:rsid w:val="1FFD08D7"/>
    <w:rsid w:val="207D1082"/>
    <w:rsid w:val="2082424C"/>
    <w:rsid w:val="209868A7"/>
    <w:rsid w:val="20B97255"/>
    <w:rsid w:val="20DB1841"/>
    <w:rsid w:val="212D3B35"/>
    <w:rsid w:val="215D684A"/>
    <w:rsid w:val="21E94E6C"/>
    <w:rsid w:val="221F3FF7"/>
    <w:rsid w:val="2236775B"/>
    <w:rsid w:val="2245277B"/>
    <w:rsid w:val="22740EE3"/>
    <w:rsid w:val="227808BD"/>
    <w:rsid w:val="23907C49"/>
    <w:rsid w:val="23C60DB4"/>
    <w:rsid w:val="23DA4C48"/>
    <w:rsid w:val="23E546A1"/>
    <w:rsid w:val="240F371D"/>
    <w:rsid w:val="24134035"/>
    <w:rsid w:val="24F22EAB"/>
    <w:rsid w:val="253E05FF"/>
    <w:rsid w:val="25600708"/>
    <w:rsid w:val="25777DA0"/>
    <w:rsid w:val="2584791E"/>
    <w:rsid w:val="25914081"/>
    <w:rsid w:val="25A25045"/>
    <w:rsid w:val="25AC1903"/>
    <w:rsid w:val="26031D89"/>
    <w:rsid w:val="26205F31"/>
    <w:rsid w:val="26A00437"/>
    <w:rsid w:val="26E1451D"/>
    <w:rsid w:val="26FD6E19"/>
    <w:rsid w:val="27744483"/>
    <w:rsid w:val="279D6B96"/>
    <w:rsid w:val="285544D2"/>
    <w:rsid w:val="285E5CDF"/>
    <w:rsid w:val="28F82099"/>
    <w:rsid w:val="291E3AE5"/>
    <w:rsid w:val="294C1E9A"/>
    <w:rsid w:val="29BF2F82"/>
    <w:rsid w:val="29C713C3"/>
    <w:rsid w:val="2A397ED6"/>
    <w:rsid w:val="2A632A0E"/>
    <w:rsid w:val="2A64502D"/>
    <w:rsid w:val="2AA12D80"/>
    <w:rsid w:val="2AB07AB0"/>
    <w:rsid w:val="2ACC0D6E"/>
    <w:rsid w:val="2ACD6F1B"/>
    <w:rsid w:val="2B3E4051"/>
    <w:rsid w:val="2B8A71B8"/>
    <w:rsid w:val="2B963AA8"/>
    <w:rsid w:val="2BAB23C8"/>
    <w:rsid w:val="2C0016BC"/>
    <w:rsid w:val="2D0C22B8"/>
    <w:rsid w:val="2D3653B6"/>
    <w:rsid w:val="2D8B7652"/>
    <w:rsid w:val="2DBA37BF"/>
    <w:rsid w:val="2E481019"/>
    <w:rsid w:val="2E524158"/>
    <w:rsid w:val="2E7C213F"/>
    <w:rsid w:val="2F857596"/>
    <w:rsid w:val="2FD915CF"/>
    <w:rsid w:val="2FEA5E18"/>
    <w:rsid w:val="3002732F"/>
    <w:rsid w:val="30126F49"/>
    <w:rsid w:val="305B3E91"/>
    <w:rsid w:val="30751B8E"/>
    <w:rsid w:val="30801BA9"/>
    <w:rsid w:val="312462A1"/>
    <w:rsid w:val="314B1454"/>
    <w:rsid w:val="319A35DF"/>
    <w:rsid w:val="31E80221"/>
    <w:rsid w:val="322E0D4A"/>
    <w:rsid w:val="32434758"/>
    <w:rsid w:val="32C40110"/>
    <w:rsid w:val="33207EBF"/>
    <w:rsid w:val="344E6541"/>
    <w:rsid w:val="34613879"/>
    <w:rsid w:val="34734613"/>
    <w:rsid w:val="34F24E9A"/>
    <w:rsid w:val="35013F0E"/>
    <w:rsid w:val="352B7A70"/>
    <w:rsid w:val="354D100C"/>
    <w:rsid w:val="35762A02"/>
    <w:rsid w:val="35AE55BC"/>
    <w:rsid w:val="35CE5A6B"/>
    <w:rsid w:val="35D901CF"/>
    <w:rsid w:val="3635039A"/>
    <w:rsid w:val="36B6056D"/>
    <w:rsid w:val="36C2184B"/>
    <w:rsid w:val="36F235A1"/>
    <w:rsid w:val="37475051"/>
    <w:rsid w:val="37DB4445"/>
    <w:rsid w:val="38EB3B0B"/>
    <w:rsid w:val="39247BA2"/>
    <w:rsid w:val="396E7D8C"/>
    <w:rsid w:val="39B34CAC"/>
    <w:rsid w:val="3A06091B"/>
    <w:rsid w:val="3A18574B"/>
    <w:rsid w:val="3A5B58C4"/>
    <w:rsid w:val="3A9F3E18"/>
    <w:rsid w:val="3AD97DFF"/>
    <w:rsid w:val="3BA37ECA"/>
    <w:rsid w:val="3BFA31D2"/>
    <w:rsid w:val="3C183765"/>
    <w:rsid w:val="3C46079F"/>
    <w:rsid w:val="3C646826"/>
    <w:rsid w:val="3C6F64E9"/>
    <w:rsid w:val="3CCA33C4"/>
    <w:rsid w:val="3CFE6E42"/>
    <w:rsid w:val="3D064737"/>
    <w:rsid w:val="3D6A79B2"/>
    <w:rsid w:val="3DF04F1D"/>
    <w:rsid w:val="3E7074C2"/>
    <w:rsid w:val="3EF27641"/>
    <w:rsid w:val="3F2D274C"/>
    <w:rsid w:val="3F5D4DB3"/>
    <w:rsid w:val="3F5F3F16"/>
    <w:rsid w:val="40CF2139"/>
    <w:rsid w:val="40F5141D"/>
    <w:rsid w:val="418453CE"/>
    <w:rsid w:val="41D8706B"/>
    <w:rsid w:val="43227950"/>
    <w:rsid w:val="43397D8B"/>
    <w:rsid w:val="435E3254"/>
    <w:rsid w:val="436D7BB4"/>
    <w:rsid w:val="4378073D"/>
    <w:rsid w:val="43AE601F"/>
    <w:rsid w:val="43EF61AC"/>
    <w:rsid w:val="44923B0E"/>
    <w:rsid w:val="44B14D12"/>
    <w:rsid w:val="45097015"/>
    <w:rsid w:val="4534112D"/>
    <w:rsid w:val="45453933"/>
    <w:rsid w:val="45585F42"/>
    <w:rsid w:val="465332E7"/>
    <w:rsid w:val="46836DC3"/>
    <w:rsid w:val="46A7255B"/>
    <w:rsid w:val="47187C9B"/>
    <w:rsid w:val="471F19A2"/>
    <w:rsid w:val="47674DCA"/>
    <w:rsid w:val="479A379A"/>
    <w:rsid w:val="47B6379F"/>
    <w:rsid w:val="47D30898"/>
    <w:rsid w:val="489C1313"/>
    <w:rsid w:val="489D60F0"/>
    <w:rsid w:val="48AB14C0"/>
    <w:rsid w:val="48D12451"/>
    <w:rsid w:val="49523C13"/>
    <w:rsid w:val="4974545F"/>
    <w:rsid w:val="4A6C23ED"/>
    <w:rsid w:val="4AA158D8"/>
    <w:rsid w:val="4ACA3953"/>
    <w:rsid w:val="4AF85C7A"/>
    <w:rsid w:val="4B5D738F"/>
    <w:rsid w:val="4B715013"/>
    <w:rsid w:val="4C2240E9"/>
    <w:rsid w:val="4C31434E"/>
    <w:rsid w:val="4C92144A"/>
    <w:rsid w:val="4C97265B"/>
    <w:rsid w:val="4CF819DB"/>
    <w:rsid w:val="4D195779"/>
    <w:rsid w:val="4E0B6BC0"/>
    <w:rsid w:val="4E38759A"/>
    <w:rsid w:val="4E39234D"/>
    <w:rsid w:val="4EA37CD2"/>
    <w:rsid w:val="4ED1318A"/>
    <w:rsid w:val="4F677A65"/>
    <w:rsid w:val="4F8A06EB"/>
    <w:rsid w:val="500D3FB9"/>
    <w:rsid w:val="50352292"/>
    <w:rsid w:val="506D723C"/>
    <w:rsid w:val="51513BDC"/>
    <w:rsid w:val="519C2F06"/>
    <w:rsid w:val="523263E1"/>
    <w:rsid w:val="5240028B"/>
    <w:rsid w:val="52454C87"/>
    <w:rsid w:val="52F81272"/>
    <w:rsid w:val="532773B8"/>
    <w:rsid w:val="53855182"/>
    <w:rsid w:val="53E32AE9"/>
    <w:rsid w:val="549E0455"/>
    <w:rsid w:val="556B04DF"/>
    <w:rsid w:val="55832269"/>
    <w:rsid w:val="5599604E"/>
    <w:rsid w:val="55B35C29"/>
    <w:rsid w:val="55B87D35"/>
    <w:rsid w:val="55C24475"/>
    <w:rsid w:val="55CD4D61"/>
    <w:rsid w:val="55E9093F"/>
    <w:rsid w:val="562A5684"/>
    <w:rsid w:val="563A409F"/>
    <w:rsid w:val="56752A9F"/>
    <w:rsid w:val="56C7635F"/>
    <w:rsid w:val="56C772E0"/>
    <w:rsid w:val="56CE4723"/>
    <w:rsid w:val="56E613BB"/>
    <w:rsid w:val="57A6151F"/>
    <w:rsid w:val="58747E70"/>
    <w:rsid w:val="58812368"/>
    <w:rsid w:val="58823551"/>
    <w:rsid w:val="58BB5ADD"/>
    <w:rsid w:val="58C64C0C"/>
    <w:rsid w:val="58E35E1A"/>
    <w:rsid w:val="58E9198C"/>
    <w:rsid w:val="59CA6A34"/>
    <w:rsid w:val="5A595507"/>
    <w:rsid w:val="5B7450A7"/>
    <w:rsid w:val="5C12262A"/>
    <w:rsid w:val="5CCA28B0"/>
    <w:rsid w:val="5D3902DD"/>
    <w:rsid w:val="5DDB0D4A"/>
    <w:rsid w:val="5E0549F3"/>
    <w:rsid w:val="5E305EAF"/>
    <w:rsid w:val="5EDB20FE"/>
    <w:rsid w:val="5F04520A"/>
    <w:rsid w:val="5F4B0B22"/>
    <w:rsid w:val="5F9E0C41"/>
    <w:rsid w:val="5FB660D0"/>
    <w:rsid w:val="604F1326"/>
    <w:rsid w:val="605D457C"/>
    <w:rsid w:val="60696A96"/>
    <w:rsid w:val="60D71E5B"/>
    <w:rsid w:val="61882B85"/>
    <w:rsid w:val="61955C55"/>
    <w:rsid w:val="61B82E6E"/>
    <w:rsid w:val="61BA09CC"/>
    <w:rsid w:val="62237CE5"/>
    <w:rsid w:val="62AA2C69"/>
    <w:rsid w:val="63812762"/>
    <w:rsid w:val="638B4F56"/>
    <w:rsid w:val="63B44952"/>
    <w:rsid w:val="64A30CEF"/>
    <w:rsid w:val="64CB4A50"/>
    <w:rsid w:val="64D37D99"/>
    <w:rsid w:val="64ED3557"/>
    <w:rsid w:val="65301FB8"/>
    <w:rsid w:val="653C1B8F"/>
    <w:rsid w:val="65A57921"/>
    <w:rsid w:val="66112E54"/>
    <w:rsid w:val="67B1513E"/>
    <w:rsid w:val="67B570F5"/>
    <w:rsid w:val="680C1B0A"/>
    <w:rsid w:val="683D721D"/>
    <w:rsid w:val="68A11F9A"/>
    <w:rsid w:val="68A80300"/>
    <w:rsid w:val="69465588"/>
    <w:rsid w:val="695263E3"/>
    <w:rsid w:val="69EE6D2C"/>
    <w:rsid w:val="6A085A11"/>
    <w:rsid w:val="6AA44805"/>
    <w:rsid w:val="6ACA03E9"/>
    <w:rsid w:val="6AF93A20"/>
    <w:rsid w:val="6B4E092F"/>
    <w:rsid w:val="6BD62925"/>
    <w:rsid w:val="6C2C53EA"/>
    <w:rsid w:val="6C6F5650"/>
    <w:rsid w:val="6C9707F4"/>
    <w:rsid w:val="6C997AC6"/>
    <w:rsid w:val="6CA6456B"/>
    <w:rsid w:val="6CA940F8"/>
    <w:rsid w:val="6CCD695E"/>
    <w:rsid w:val="6CFF4676"/>
    <w:rsid w:val="6D9D13F2"/>
    <w:rsid w:val="6DA771A2"/>
    <w:rsid w:val="6DB6208E"/>
    <w:rsid w:val="6E0742EA"/>
    <w:rsid w:val="6E766FF7"/>
    <w:rsid w:val="6E7D5C0D"/>
    <w:rsid w:val="6EED0B7F"/>
    <w:rsid w:val="6EFF7B92"/>
    <w:rsid w:val="6F3873FE"/>
    <w:rsid w:val="6F3A2404"/>
    <w:rsid w:val="70051703"/>
    <w:rsid w:val="703A7C7B"/>
    <w:rsid w:val="7046101F"/>
    <w:rsid w:val="704647E4"/>
    <w:rsid w:val="704E6DAD"/>
    <w:rsid w:val="705215A8"/>
    <w:rsid w:val="706630CB"/>
    <w:rsid w:val="707346A4"/>
    <w:rsid w:val="70C9355C"/>
    <w:rsid w:val="70F927C6"/>
    <w:rsid w:val="710F3B56"/>
    <w:rsid w:val="712F04BD"/>
    <w:rsid w:val="714C24F7"/>
    <w:rsid w:val="71AF4A08"/>
    <w:rsid w:val="71B4438D"/>
    <w:rsid w:val="71B85669"/>
    <w:rsid w:val="71D4685E"/>
    <w:rsid w:val="71F841BD"/>
    <w:rsid w:val="7205286A"/>
    <w:rsid w:val="723B72EC"/>
    <w:rsid w:val="725616F0"/>
    <w:rsid w:val="72E67852"/>
    <w:rsid w:val="72EC0F44"/>
    <w:rsid w:val="736B77AC"/>
    <w:rsid w:val="7391220A"/>
    <w:rsid w:val="73B93C97"/>
    <w:rsid w:val="73C50A28"/>
    <w:rsid w:val="73F936F3"/>
    <w:rsid w:val="73FD1C28"/>
    <w:rsid w:val="74334690"/>
    <w:rsid w:val="743E2E97"/>
    <w:rsid w:val="74AB2BEB"/>
    <w:rsid w:val="751A3C61"/>
    <w:rsid w:val="755F7CB4"/>
    <w:rsid w:val="75624758"/>
    <w:rsid w:val="75E964DC"/>
    <w:rsid w:val="76350342"/>
    <w:rsid w:val="764B18B3"/>
    <w:rsid w:val="76D510EF"/>
    <w:rsid w:val="76D76769"/>
    <w:rsid w:val="77055FDD"/>
    <w:rsid w:val="773A625B"/>
    <w:rsid w:val="7860213E"/>
    <w:rsid w:val="78A25309"/>
    <w:rsid w:val="78B02733"/>
    <w:rsid w:val="79084A5A"/>
    <w:rsid w:val="790C2D1F"/>
    <w:rsid w:val="79126DE6"/>
    <w:rsid w:val="7A14527E"/>
    <w:rsid w:val="7A2C1EED"/>
    <w:rsid w:val="7A3D653C"/>
    <w:rsid w:val="7A420092"/>
    <w:rsid w:val="7A7C717F"/>
    <w:rsid w:val="7B3F2127"/>
    <w:rsid w:val="7B962F80"/>
    <w:rsid w:val="7B9C37AF"/>
    <w:rsid w:val="7BCB4336"/>
    <w:rsid w:val="7C1C6DF7"/>
    <w:rsid w:val="7C2631D3"/>
    <w:rsid w:val="7D9E1F0A"/>
    <w:rsid w:val="7DAC2571"/>
    <w:rsid w:val="7DE1016D"/>
    <w:rsid w:val="7F2F459F"/>
    <w:rsid w:val="7F350E6B"/>
    <w:rsid w:val="7F41669F"/>
    <w:rsid w:val="7FD33EBF"/>
    <w:rsid w:val="7FF81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qFormat/>
    <w:uiPriority w:val="0"/>
    <w:pPr>
      <w:outlineLvl w:val="2"/>
    </w:p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0">
    <w:name w:val="fontstyle01"/>
    <w:basedOn w:val="8"/>
    <w:qFormat/>
    <w:uiPriority w:val="0"/>
    <w:rPr>
      <w:rFonts w:ascii="仿宋_GB2312" w:hAnsi="仿宋_GB2312" w:eastAsia="仿宋_GB2312" w:cs="仿宋_GB2312"/>
      <w:color w:val="000000"/>
      <w:sz w:val="32"/>
      <w:szCs w:val="32"/>
    </w:rPr>
  </w:style>
  <w:style w:type="paragraph" w:customStyle="1" w:styleId="11">
    <w:name w:val="Normal New New New"/>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2021-04-16T08:04:00Z</dcterms:created>
  <dc:creator>钟永波</dc:creator>
  <cp:lastModifiedBy>沈寅</cp:lastModifiedBy>
  <cp:lastPrinted>2022-03-02T06:34:00Z</cp:lastPrinted>
  <dcterms:modified xsi:type="dcterms:W3CDTF">2023-03-27T02:43:28Z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6735FA8E3FFE45A09ECBD6C6DB6D0550</vt:lpwstr>
  </property>
</Properties>
</file>