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60" w:lineRule="exact"/>
        <w:jc w:val="center"/>
        <w:textAlignment w:val="auto"/>
        <w:rPr>
          <w:rFonts w:ascii="Times New Roman" w:hAnsi="Times New Roman" w:eastAsia="方正小标宋简体" w:cs="Times New Roman"/>
          <w:sz w:val="44"/>
          <w:szCs w:val="44"/>
        </w:rPr>
      </w:pPr>
    </w:p>
    <w:p>
      <w:pPr>
        <w:pageBreakBefore w:val="0"/>
        <w:kinsoku/>
        <w:wordWrap/>
        <w:overflowPunct/>
        <w:topLinePunct w:val="0"/>
        <w:autoSpaceDE/>
        <w:autoSpaceDN/>
        <w:bidi w:val="0"/>
        <w:spacing w:line="56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支持佛山行业骨干企业开展产业并购</w:t>
      </w:r>
    </w:p>
    <w:p>
      <w:pPr>
        <w:pageBreakBefore w:val="0"/>
        <w:kinsoku/>
        <w:wordWrap/>
        <w:overflowPunct/>
        <w:topLinePunct w:val="0"/>
        <w:autoSpaceDE/>
        <w:autoSpaceDN/>
        <w:bidi w:val="0"/>
        <w:spacing w:line="56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专项资金管理办法</w:t>
      </w:r>
    </w:p>
    <w:p>
      <w:pPr>
        <w:pageBreakBefore w:val="0"/>
        <w:kinsoku/>
        <w:wordWrap/>
        <w:overflowPunct/>
        <w:topLinePunct w:val="0"/>
        <w:autoSpaceDE/>
        <w:autoSpaceDN/>
        <w:bidi w:val="0"/>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征求意见稿</w:t>
      </w:r>
      <w:r>
        <w:rPr>
          <w:rFonts w:hint="eastAsia" w:ascii="楷体_GB2312" w:hAnsi="楷体_GB2312" w:eastAsia="楷体_GB2312" w:cs="楷体_GB2312"/>
          <w:sz w:val="32"/>
          <w:szCs w:val="32"/>
        </w:rPr>
        <w:t>）</w:t>
      </w:r>
    </w:p>
    <w:p>
      <w:pPr>
        <w:pageBreakBefore w:val="0"/>
        <w:kinsoku/>
        <w:wordWrap/>
        <w:overflowPunct/>
        <w:topLinePunct w:val="0"/>
        <w:autoSpaceDE/>
        <w:autoSpaceDN/>
        <w:bidi w:val="0"/>
        <w:spacing w:line="560" w:lineRule="exact"/>
        <w:jc w:val="center"/>
        <w:textAlignment w:val="auto"/>
        <w:rPr>
          <w:rFonts w:ascii="Times New Roman" w:hAnsi="Times New Roman" w:eastAsia="仿宋_GB2312" w:cs="Times New Roman"/>
          <w:sz w:val="32"/>
          <w:szCs w:val="32"/>
        </w:rPr>
      </w:pPr>
    </w:p>
    <w:p>
      <w:pPr>
        <w:pageBreakBefore w:val="0"/>
        <w:numPr>
          <w:ilvl w:val="0"/>
          <w:numId w:val="1"/>
        </w:numPr>
        <w:kinsoku/>
        <w:wordWrap/>
        <w:overflowPunct/>
        <w:topLinePunct w:val="0"/>
        <w:autoSpaceDE/>
        <w:autoSpaceDN/>
        <w:bidi w:val="0"/>
        <w:spacing w:line="560" w:lineRule="exact"/>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总则</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hint="eastAsia" w:ascii="Times New Roman" w:hAnsi="Times New Roman" w:eastAsia="黑体" w:cs="Times New Roman"/>
          <w:sz w:val="32"/>
          <w:szCs w:val="32"/>
          <w:lang w:val="en-US" w:eastAsia="zh-CN"/>
        </w:rPr>
        <w:t xml:space="preserve"> </w:t>
      </w:r>
      <w:r>
        <w:rPr>
          <w:rFonts w:hint="eastAsia" w:ascii="仿宋_GB2312" w:eastAsia="仿宋_GB2312"/>
          <w:sz w:val="32"/>
          <w:szCs w:val="32"/>
        </w:rPr>
        <w:t>为支持行业骨干企业抢抓当前各类资产价格、企业估值处于低位的有利时机，围绕产业链上下游、关联领域进行低成本并购，加快稳链补链强链，并进一步做强做大</w:t>
      </w:r>
      <w:r>
        <w:rPr>
          <w:rFonts w:hint="eastAsia" w:ascii="仿宋_GB2312" w:eastAsia="仿宋_GB2312"/>
          <w:sz w:val="32"/>
          <w:szCs w:val="32"/>
          <w:lang w:eastAsia="zh-CN"/>
        </w:rPr>
        <w:t>，</w:t>
      </w:r>
      <w:r>
        <w:rPr>
          <w:rFonts w:hint="eastAsia" w:ascii="仿宋_GB2312" w:eastAsia="仿宋_GB2312"/>
          <w:sz w:val="32"/>
          <w:szCs w:val="32"/>
          <w:highlight w:val="none"/>
        </w:rPr>
        <w:t>设立支持佛山行业骨干企业开展产业并购专项资金（以下简</w:t>
      </w:r>
      <w:r>
        <w:rPr>
          <w:rFonts w:hint="eastAsia" w:ascii="仿宋_GB2312" w:eastAsia="仿宋_GB2312"/>
          <w:sz w:val="32"/>
          <w:szCs w:val="32"/>
          <w:highlight w:val="none"/>
          <w:lang w:val="en-US" w:eastAsia="zh-CN"/>
        </w:rPr>
        <w:t>称</w:t>
      </w:r>
      <w:r>
        <w:rPr>
          <w:rFonts w:hint="eastAsia" w:ascii="仿宋_GB2312" w:eastAsia="仿宋_GB2312"/>
          <w:sz w:val="32"/>
          <w:szCs w:val="32"/>
          <w:highlight w:val="none"/>
        </w:rPr>
        <w:t>专项资金）</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lang w:val="en-US" w:eastAsia="zh-CN"/>
        </w:rPr>
        <w:t>为规范专项资金的使用和管理，结合我市实际</w:t>
      </w:r>
      <w:r>
        <w:rPr>
          <w:rFonts w:ascii="Times New Roman" w:hAnsi="Times New Roman" w:eastAsia="仿宋_GB2312" w:cs="Times New Roman"/>
          <w:sz w:val="32"/>
          <w:szCs w:val="32"/>
          <w:highlight w:val="none"/>
        </w:rPr>
        <w:t>，制定本办法。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hint="eastAsia" w:ascii="Times New Roman" w:hAnsi="Times New Roman" w:eastAsia="黑体" w:cs="Times New Roman"/>
          <w:sz w:val="32"/>
          <w:szCs w:val="32"/>
          <w:lang w:val="en-US" w:eastAsia="zh-CN"/>
        </w:rPr>
        <w:t xml:space="preserve"> </w:t>
      </w:r>
      <w:r>
        <w:rPr>
          <w:rFonts w:hint="eastAsia" w:ascii="仿宋_GB2312" w:hAnsi="仿宋_GB2312" w:eastAsia="仿宋_GB2312"/>
          <w:color w:val="auto"/>
          <w:sz w:val="32"/>
          <w:lang w:eastAsia="zh-CN"/>
        </w:rPr>
        <w:t>本办法所称的</w:t>
      </w:r>
      <w:r>
        <w:rPr>
          <w:rFonts w:hint="eastAsia" w:ascii="仿宋_GB2312" w:eastAsia="仿宋_GB2312"/>
          <w:sz w:val="32"/>
          <w:szCs w:val="32"/>
          <w:highlight w:val="none"/>
        </w:rPr>
        <w:t>支持佛山行业骨干企业开展产业并购专项资金</w:t>
      </w:r>
      <w:r>
        <w:rPr>
          <w:rFonts w:ascii="Times New Roman" w:hAnsi="Times New Roman" w:eastAsia="仿宋_GB2312" w:cs="Times New Roman"/>
          <w:sz w:val="32"/>
          <w:szCs w:val="32"/>
        </w:rPr>
        <w:t>是指</w:t>
      </w:r>
      <w:r>
        <w:rPr>
          <w:rFonts w:hint="eastAsia" w:ascii="仿宋_GB2312" w:hAnsi="仿宋_GB2312" w:eastAsia="仿宋_GB2312"/>
          <w:color w:val="auto"/>
          <w:sz w:val="32"/>
          <w:lang w:eastAsia="zh-CN"/>
        </w:rPr>
        <w:t>由</w:t>
      </w:r>
      <w:r>
        <w:rPr>
          <w:rFonts w:hint="eastAsia" w:ascii="仿宋_GB2312" w:hAnsi="仿宋_GB2312" w:eastAsia="仿宋_GB2312"/>
          <w:color w:val="auto"/>
          <w:sz w:val="32"/>
        </w:rPr>
        <w:t>市级财政预算安排</w:t>
      </w:r>
      <w:r>
        <w:rPr>
          <w:rFonts w:hint="eastAsia" w:ascii="仿宋_GB2312" w:hAnsi="仿宋_GB2312" w:eastAsia="仿宋_GB2312"/>
          <w:color w:val="auto"/>
          <w:sz w:val="32"/>
          <w:lang w:eastAsia="zh-CN"/>
        </w:rPr>
        <w:t>的</w:t>
      </w:r>
      <w:r>
        <w:rPr>
          <w:rFonts w:hint="eastAsia" w:ascii="仿宋_GB2312" w:hAnsi="仿宋_GB2312" w:eastAsia="仿宋_GB2312"/>
          <w:color w:val="auto"/>
          <w:sz w:val="32"/>
        </w:rPr>
        <w:t>、</w:t>
      </w:r>
      <w:r>
        <w:rPr>
          <w:rFonts w:ascii="Times New Roman" w:hAnsi="Times New Roman" w:eastAsia="仿宋_GB2312" w:cs="Times New Roman"/>
          <w:sz w:val="32"/>
          <w:szCs w:val="32"/>
        </w:rPr>
        <w:t>用于</w:t>
      </w:r>
      <w:r>
        <w:rPr>
          <w:rFonts w:hint="eastAsia" w:ascii="Times New Roman" w:hAnsi="Times New Roman" w:eastAsia="仿宋_GB2312" w:cs="Times New Roman"/>
          <w:sz w:val="32"/>
          <w:szCs w:val="32"/>
          <w:lang w:val="en-US" w:eastAsia="zh-CN"/>
        </w:rPr>
        <w:t>支持我市行业骨干企业开展产业并购</w:t>
      </w:r>
      <w:r>
        <w:rPr>
          <w:rFonts w:ascii="Times New Roman" w:hAnsi="Times New Roman" w:eastAsia="仿宋_GB2312" w:cs="Times New Roman"/>
          <w:sz w:val="32"/>
          <w:szCs w:val="32"/>
        </w:rPr>
        <w:t>的财政专项资金。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xml:space="preserve"> 专项资金的使用和管理遵循</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公开透明、公平公正、规范管理、突出重点、提高效率、节约成本、绩效导向、强化监督</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的原则。</w:t>
      </w:r>
    </w:p>
    <w:p>
      <w:pPr>
        <w:spacing w:line="560" w:lineRule="exact"/>
        <w:ind w:firstLine="640" w:firstLineChars="200"/>
        <w:rPr>
          <w:rFonts w:hint="eastAsia" w:ascii="仿宋_GB2312" w:eastAsia="仿宋_GB2312"/>
          <w:sz w:val="32"/>
          <w:szCs w:val="32"/>
        </w:rPr>
      </w:pPr>
      <w:r>
        <w:rPr>
          <w:rFonts w:ascii="Times New Roman" w:hAnsi="Times New Roman" w:eastAsia="黑体" w:cs="Times New Roman"/>
          <w:sz w:val="32"/>
          <w:szCs w:val="32"/>
        </w:rPr>
        <w:t>第四条</w:t>
      </w:r>
      <w:r>
        <w:rPr>
          <w:rFonts w:hint="eastAsia" w:ascii="Times New Roman" w:hAnsi="Times New Roman" w:eastAsia="黑体" w:cs="Times New Roman"/>
          <w:sz w:val="32"/>
          <w:szCs w:val="32"/>
          <w:lang w:val="en-US" w:eastAsia="zh-CN"/>
        </w:rPr>
        <w:t xml:space="preserve"> </w:t>
      </w:r>
      <w:r>
        <w:rPr>
          <w:rFonts w:hint="eastAsia" w:ascii="仿宋_GB2312" w:hAnsi="仿宋_GB2312" w:eastAsia="仿宋_GB2312" w:cs="仿宋_GB2312"/>
          <w:sz w:val="32"/>
          <w:szCs w:val="32"/>
          <w:lang w:val="en-US" w:eastAsia="zh-CN"/>
        </w:rPr>
        <w:t>本办法</w:t>
      </w:r>
      <w:r>
        <w:rPr>
          <w:rFonts w:hint="eastAsia" w:ascii="仿宋_GB2312" w:eastAsia="仿宋_GB2312"/>
          <w:sz w:val="32"/>
          <w:szCs w:val="32"/>
        </w:rPr>
        <w:t>所称</w:t>
      </w:r>
      <w:r>
        <w:rPr>
          <w:rFonts w:hint="eastAsia" w:ascii="仿宋_GB2312" w:eastAsia="仿宋_GB2312"/>
          <w:sz w:val="32"/>
          <w:szCs w:val="32"/>
          <w:lang w:val="en-US" w:eastAsia="zh-CN"/>
        </w:rPr>
        <w:t>的</w:t>
      </w:r>
      <w:r>
        <w:rPr>
          <w:rFonts w:hint="eastAsia" w:ascii="仿宋_GB2312" w:eastAsia="仿宋_GB2312"/>
          <w:sz w:val="32"/>
          <w:szCs w:val="32"/>
        </w:rPr>
        <w:t>行业骨干企业主要是指具有一定规模、具有核心竞争力的上市公司、制造业企业、投资控股平台等企业。产业链重点企业是指制造业单项冠军企业、专精特新“小巨人”企业、专精特新中小企业、标杆高新技术企业、规模以上创新团队设立企业、细分行业龙头企业、上市后备企业或者经市利用和发展资本市场联席会议认定的其他企</w:t>
      </w:r>
      <w:bookmarkStart w:id="0" w:name="_GoBack"/>
      <w:bookmarkEnd w:id="0"/>
      <w:r>
        <w:rPr>
          <w:rFonts w:hint="eastAsia" w:ascii="仿宋_GB2312" w:eastAsia="仿宋_GB2312"/>
          <w:sz w:val="32"/>
          <w:szCs w:val="32"/>
        </w:rPr>
        <w:t>业。</w:t>
      </w:r>
    </w:p>
    <w:p>
      <w:pPr>
        <w:spacing w:line="560" w:lineRule="exact"/>
        <w:ind w:firstLine="640" w:firstLineChars="200"/>
        <w:rPr>
          <w:rFonts w:hint="eastAsia" w:ascii="仿宋_GB2312" w:eastAsia="仿宋_GB2312"/>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五</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eastAsia" w:ascii="仿宋_GB2312" w:eastAsia="仿宋_GB2312"/>
          <w:sz w:val="32"/>
          <w:szCs w:val="32"/>
        </w:rPr>
        <w:t>本</w:t>
      </w:r>
      <w:r>
        <w:rPr>
          <w:rFonts w:hint="eastAsia" w:ascii="仿宋_GB2312" w:eastAsia="仿宋_GB2312"/>
          <w:sz w:val="32"/>
          <w:szCs w:val="32"/>
          <w:lang w:val="en-US" w:eastAsia="zh-CN"/>
        </w:rPr>
        <w:t>办法</w:t>
      </w:r>
      <w:r>
        <w:rPr>
          <w:rFonts w:hint="eastAsia" w:ascii="仿宋_GB2312" w:eastAsia="仿宋_GB2312"/>
          <w:sz w:val="32"/>
          <w:szCs w:val="32"/>
        </w:rPr>
        <w:t>所称</w:t>
      </w:r>
      <w:r>
        <w:rPr>
          <w:rFonts w:hint="eastAsia" w:ascii="仿宋_GB2312" w:eastAsia="仿宋_GB2312"/>
          <w:sz w:val="32"/>
          <w:szCs w:val="32"/>
          <w:lang w:val="en-US" w:eastAsia="zh-CN"/>
        </w:rPr>
        <w:t>的</w:t>
      </w:r>
      <w:r>
        <w:rPr>
          <w:rFonts w:hint="eastAsia" w:ascii="仿宋_GB2312" w:eastAsia="仿宋_GB2312"/>
          <w:sz w:val="32"/>
          <w:szCs w:val="32"/>
        </w:rPr>
        <w:t>产业并购是指我市行业骨干企业按照市场化原则，为了获得其他非关联企业的控制权（成为第一大股东或实际控制人）并实现财务并表，而进行的实际支付金额（包括现金支付或股份支付部分）在5000万元以上的产权交易活动（房地产并购项目除外）。重大并购项目可经市利用和发展资本市场联席会议予以认定，并“一事一议”予以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lang w:val="en-US" w:eastAsia="zh-CN"/>
        </w:rPr>
      </w:pPr>
    </w:p>
    <w:p>
      <w:pPr>
        <w:pageBreakBefore w:val="0"/>
        <w:numPr>
          <w:ilvl w:val="0"/>
          <w:numId w:val="1"/>
        </w:numPr>
        <w:kinsoku/>
        <w:wordWrap/>
        <w:overflowPunct/>
        <w:topLinePunct w:val="0"/>
        <w:autoSpaceDE/>
        <w:autoSpaceDN/>
        <w:bidi w:val="0"/>
        <w:spacing w:line="560" w:lineRule="exact"/>
        <w:jc w:val="center"/>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资金管理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六</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w:t>
      </w:r>
      <w:r>
        <w:rPr>
          <w:rFonts w:hint="eastAsia" w:ascii="仿宋_GB2312" w:eastAsia="仿宋_GB2312"/>
          <w:color w:val="auto"/>
          <w:kern w:val="0"/>
          <w:sz w:val="32"/>
          <w:highlight w:val="none"/>
          <w:lang w:eastAsia="zh-CN"/>
        </w:rPr>
        <w:t>专项</w:t>
      </w:r>
      <w:r>
        <w:rPr>
          <w:rFonts w:hint="eastAsia" w:ascii="仿宋_GB2312" w:eastAsia="仿宋_GB2312"/>
          <w:color w:val="auto"/>
          <w:kern w:val="0"/>
          <w:sz w:val="32"/>
          <w:highlight w:val="none"/>
        </w:rPr>
        <w:t>资金</w:t>
      </w:r>
      <w:r>
        <w:rPr>
          <w:rFonts w:hint="eastAsia" w:ascii="仿宋_GB2312" w:eastAsia="仿宋_GB2312"/>
          <w:color w:val="auto"/>
          <w:kern w:val="0"/>
          <w:sz w:val="32"/>
          <w:highlight w:val="none"/>
          <w:u w:val="none" w:color="auto"/>
          <w:lang w:eastAsia="zh-CN"/>
        </w:rPr>
        <w:t>由市、</w:t>
      </w:r>
      <w:r>
        <w:rPr>
          <w:rFonts w:hint="eastAsia" w:ascii="仿宋_GB2312" w:eastAsia="仿宋_GB2312"/>
          <w:color w:val="auto"/>
          <w:kern w:val="0"/>
          <w:sz w:val="32"/>
          <w:highlight w:val="none"/>
          <w:u w:val="none" w:color="auto"/>
          <w:lang w:val="en-US" w:eastAsia="zh-CN"/>
        </w:rPr>
        <w:t>区两级金融部门</w:t>
      </w:r>
      <w:r>
        <w:rPr>
          <w:rFonts w:hint="eastAsia" w:ascii="仿宋_GB2312" w:eastAsia="仿宋_GB2312"/>
          <w:color w:val="auto"/>
          <w:kern w:val="0"/>
          <w:sz w:val="32"/>
          <w:highlight w:val="none"/>
          <w:lang w:eastAsia="zh-CN"/>
        </w:rPr>
        <w:t>和</w:t>
      </w:r>
      <w:r>
        <w:rPr>
          <w:rFonts w:ascii="Times New Roman" w:hAnsi="Times New Roman" w:eastAsia="仿宋_GB2312" w:cs="Times New Roman"/>
          <w:sz w:val="32"/>
          <w:szCs w:val="32"/>
        </w:rPr>
        <w:t>市财政</w:t>
      </w:r>
      <w:r>
        <w:rPr>
          <w:rFonts w:hint="eastAsia" w:ascii="Times New Roman" w:hAnsi="Times New Roman" w:eastAsia="仿宋_GB2312" w:cs="Times New Roman"/>
          <w:sz w:val="32"/>
          <w:szCs w:val="32"/>
          <w:lang w:val="en-US" w:eastAsia="zh-CN"/>
        </w:rPr>
        <w:t>主管</w:t>
      </w:r>
      <w:r>
        <w:rPr>
          <w:rFonts w:ascii="Times New Roman" w:hAnsi="Times New Roman" w:eastAsia="仿宋_GB2312" w:cs="Times New Roman"/>
          <w:sz w:val="32"/>
          <w:szCs w:val="32"/>
        </w:rPr>
        <w:t>部门</w:t>
      </w:r>
      <w:r>
        <w:rPr>
          <w:rFonts w:hint="eastAsia" w:ascii="Times New Roman" w:hAnsi="Times New Roman" w:eastAsia="仿宋_GB2312" w:cs="Times New Roman"/>
          <w:sz w:val="32"/>
          <w:szCs w:val="32"/>
          <w:lang w:val="en-US" w:eastAsia="zh-CN"/>
        </w:rPr>
        <w:t>共同管理，</w:t>
      </w:r>
      <w:r>
        <w:rPr>
          <w:rFonts w:hint="eastAsia" w:ascii="仿宋_GB2312" w:eastAsia="仿宋_GB2312"/>
          <w:color w:val="auto"/>
          <w:kern w:val="0"/>
          <w:sz w:val="32"/>
          <w:highlight w:val="none"/>
        </w:rPr>
        <w:t>分别履行相应管理职责，资金使用单位按规定</w:t>
      </w:r>
      <w:r>
        <w:rPr>
          <w:rFonts w:hint="eastAsia" w:ascii="仿宋_GB2312" w:eastAsia="仿宋_GB2312"/>
          <w:color w:val="auto"/>
          <w:kern w:val="0"/>
          <w:sz w:val="32"/>
          <w:highlight w:val="none"/>
          <w:lang w:eastAsia="zh-CN"/>
        </w:rPr>
        <w:t>申报使用专项资金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其中：</w:t>
      </w:r>
    </w:p>
    <w:p>
      <w:pPr>
        <w:pStyle w:val="9"/>
        <w:pageBreakBefore w:val="0"/>
        <w:kinsoku/>
        <w:wordWrap/>
        <w:overflowPunct/>
        <w:topLinePunct w:val="0"/>
        <w:autoSpaceDE/>
        <w:autoSpaceDN/>
        <w:bidi w:val="0"/>
        <w:adjustRightInd w:val="0"/>
        <w:snapToGrid w:val="0"/>
        <w:spacing w:line="560" w:lineRule="exact"/>
        <w:ind w:firstLine="640" w:firstLineChars="200"/>
        <w:textAlignment w:val="auto"/>
        <w:rPr>
          <w:rFonts w:hint="default" w:eastAsia="仿宋_GB2312"/>
          <w:color w:val="000000"/>
          <w:kern w:val="0"/>
          <w:sz w:val="32"/>
        </w:rPr>
      </w:pPr>
      <w:r>
        <w:rPr>
          <w:rFonts w:hint="default" w:eastAsia="仿宋_GB2312"/>
          <w:color w:val="000000"/>
          <w:kern w:val="0"/>
          <w:sz w:val="32"/>
        </w:rPr>
        <w:t>市金融工作局是专项资金的主管部门，</w:t>
      </w:r>
      <w:r>
        <w:rPr>
          <w:rFonts w:hint="eastAsia" w:eastAsia="仿宋_GB2312"/>
          <w:color w:val="000000"/>
          <w:kern w:val="0"/>
          <w:sz w:val="32"/>
          <w:lang w:val="en-US" w:eastAsia="zh-CN"/>
        </w:rPr>
        <w:t>其</w:t>
      </w:r>
      <w:r>
        <w:rPr>
          <w:rFonts w:hint="default" w:eastAsia="仿宋_GB2312"/>
          <w:color w:val="000000"/>
          <w:kern w:val="0"/>
          <w:sz w:val="32"/>
        </w:rPr>
        <w:t>职责是：</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eastAsia="仿宋_GB2312"/>
          <w:color w:val="000000"/>
          <w:kern w:val="0"/>
          <w:sz w:val="32"/>
        </w:rPr>
      </w:pPr>
      <w:r>
        <w:rPr>
          <w:rFonts w:hint="eastAsia" w:eastAsia="仿宋_GB2312"/>
          <w:color w:val="000000"/>
          <w:kern w:val="0"/>
          <w:sz w:val="32"/>
          <w:lang w:eastAsia="zh-CN"/>
        </w:rPr>
        <w:t>（</w:t>
      </w:r>
      <w:r>
        <w:rPr>
          <w:rFonts w:hint="eastAsia" w:eastAsia="仿宋_GB2312"/>
          <w:color w:val="000000"/>
          <w:kern w:val="0"/>
          <w:sz w:val="32"/>
          <w:lang w:val="en-US" w:eastAsia="zh-CN"/>
        </w:rPr>
        <w:t>一</w:t>
      </w:r>
      <w:r>
        <w:rPr>
          <w:rFonts w:hint="eastAsia" w:eastAsia="仿宋_GB2312"/>
          <w:color w:val="000000"/>
          <w:kern w:val="0"/>
          <w:sz w:val="32"/>
          <w:lang w:eastAsia="zh-CN"/>
        </w:rPr>
        <w:t>）</w:t>
      </w:r>
      <w:r>
        <w:rPr>
          <w:rFonts w:hint="default" w:eastAsia="仿宋_GB2312"/>
          <w:color w:val="000000"/>
          <w:kern w:val="0"/>
          <w:sz w:val="32"/>
        </w:rPr>
        <w:t>提出年度专项资金预算报市财政部门审批；</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eastAsia="仿宋_GB2312"/>
          <w:color w:val="000000"/>
          <w:kern w:val="0"/>
          <w:sz w:val="32"/>
          <w:highlight w:val="none"/>
        </w:rPr>
      </w:pPr>
      <w:r>
        <w:rPr>
          <w:rFonts w:hint="eastAsia" w:eastAsia="仿宋_GB2312"/>
          <w:color w:val="000000"/>
          <w:kern w:val="0"/>
          <w:sz w:val="32"/>
          <w:highlight w:val="none"/>
          <w:lang w:eastAsia="zh-CN"/>
        </w:rPr>
        <w:t>（</w:t>
      </w:r>
      <w:r>
        <w:rPr>
          <w:rFonts w:hint="eastAsia" w:eastAsia="仿宋_GB2312"/>
          <w:color w:val="000000"/>
          <w:kern w:val="0"/>
          <w:sz w:val="32"/>
          <w:highlight w:val="none"/>
          <w:lang w:val="en-US" w:eastAsia="zh-CN"/>
        </w:rPr>
        <w:t>二</w:t>
      </w:r>
      <w:r>
        <w:rPr>
          <w:rFonts w:hint="eastAsia" w:eastAsia="仿宋_GB2312"/>
          <w:color w:val="000000"/>
          <w:kern w:val="0"/>
          <w:sz w:val="32"/>
          <w:highlight w:val="none"/>
          <w:lang w:eastAsia="zh-CN"/>
        </w:rPr>
        <w:t>）</w:t>
      </w:r>
      <w:r>
        <w:rPr>
          <w:rFonts w:hint="default" w:eastAsia="仿宋_GB2312"/>
          <w:color w:val="000000"/>
          <w:kern w:val="0"/>
          <w:sz w:val="32"/>
          <w:highlight w:val="none"/>
        </w:rPr>
        <w:t>根据每年的重点工作安排，提出年度专项资金重点扶持方向和要求，自行调整制定并公布每年的专项资金申报指南，并报市财政部门备案；</w:t>
      </w:r>
    </w:p>
    <w:p>
      <w:pPr>
        <w:pStyle w:val="9"/>
        <w:pageBreakBefore w:val="0"/>
        <w:kinsoku/>
        <w:wordWrap/>
        <w:overflowPunct/>
        <w:topLinePunct w:val="0"/>
        <w:autoSpaceDE/>
        <w:autoSpaceDN/>
        <w:bidi w:val="0"/>
        <w:adjustRightInd w:val="0"/>
        <w:snapToGrid w:val="0"/>
        <w:spacing w:line="560" w:lineRule="exact"/>
        <w:ind w:firstLine="640" w:firstLineChars="200"/>
        <w:textAlignment w:val="auto"/>
        <w:rPr>
          <w:rFonts w:hint="default" w:eastAsia="仿宋_GB2312"/>
          <w:color w:val="000000"/>
          <w:kern w:val="0"/>
          <w:sz w:val="32"/>
        </w:rPr>
      </w:pPr>
      <w:r>
        <w:rPr>
          <w:rFonts w:hint="default" w:eastAsia="仿宋_GB2312"/>
          <w:color w:val="000000"/>
          <w:kern w:val="0"/>
          <w:sz w:val="32"/>
        </w:rPr>
        <w:t>（三）组织专项资金的项目申报和评审，提出专项资金分配</w:t>
      </w:r>
      <w:r>
        <w:rPr>
          <w:rFonts w:hint="default" w:eastAsia="仿宋_GB2312"/>
          <w:kern w:val="0"/>
          <w:sz w:val="32"/>
        </w:rPr>
        <w:t>方案，按规定报送市人民政府审核；</w:t>
      </w:r>
    </w:p>
    <w:p>
      <w:pPr>
        <w:pStyle w:val="9"/>
        <w:adjustRightInd w:val="0"/>
        <w:snapToGrid w:val="0"/>
        <w:spacing w:line="560" w:lineRule="exact"/>
        <w:ind w:firstLine="640" w:firstLineChars="200"/>
        <w:rPr>
          <w:rFonts w:hint="default" w:eastAsia="仿宋_GB2312"/>
          <w:color w:val="000000"/>
          <w:kern w:val="0"/>
          <w:sz w:val="32"/>
        </w:rPr>
      </w:pPr>
      <w:r>
        <w:rPr>
          <w:rFonts w:hint="default" w:eastAsia="仿宋_GB2312"/>
          <w:color w:val="000000"/>
          <w:kern w:val="0"/>
          <w:sz w:val="32"/>
        </w:rPr>
        <w:t>（四）会同市财政部门下达专项资金安排计划；</w:t>
      </w:r>
    </w:p>
    <w:p>
      <w:pPr>
        <w:pStyle w:val="9"/>
        <w:pageBreakBefore w:val="0"/>
        <w:kinsoku/>
        <w:wordWrap/>
        <w:overflowPunct/>
        <w:topLinePunct w:val="0"/>
        <w:autoSpaceDE/>
        <w:autoSpaceDN/>
        <w:bidi w:val="0"/>
        <w:adjustRightInd w:val="0"/>
        <w:snapToGrid w:val="0"/>
        <w:spacing w:line="560" w:lineRule="exact"/>
        <w:ind w:firstLine="640" w:firstLineChars="200"/>
        <w:textAlignment w:val="auto"/>
        <w:rPr>
          <w:rFonts w:hint="default" w:eastAsia="仿宋_GB2312"/>
          <w:color w:val="000000"/>
          <w:kern w:val="0"/>
          <w:sz w:val="32"/>
        </w:rPr>
      </w:pPr>
      <w:r>
        <w:rPr>
          <w:rFonts w:hint="default" w:eastAsia="仿宋_GB2312"/>
          <w:color w:val="000000"/>
          <w:kern w:val="0"/>
          <w:sz w:val="32"/>
        </w:rPr>
        <w:t>（</w:t>
      </w:r>
      <w:r>
        <w:rPr>
          <w:rFonts w:hint="eastAsia" w:eastAsia="仿宋_GB2312"/>
          <w:color w:val="000000"/>
          <w:kern w:val="0"/>
          <w:sz w:val="32"/>
          <w:lang w:val="en-US" w:eastAsia="zh-CN"/>
        </w:rPr>
        <w:t>五</w:t>
      </w:r>
      <w:r>
        <w:rPr>
          <w:rFonts w:hint="default" w:eastAsia="仿宋_GB2312"/>
          <w:color w:val="000000"/>
          <w:kern w:val="0"/>
          <w:sz w:val="32"/>
        </w:rPr>
        <w:t>）负责专项资金管理，监督项目实施；</w:t>
      </w:r>
    </w:p>
    <w:p>
      <w:pPr>
        <w:pStyle w:val="9"/>
        <w:pageBreakBefore w:val="0"/>
        <w:kinsoku/>
        <w:wordWrap/>
        <w:overflowPunct/>
        <w:topLinePunct w:val="0"/>
        <w:autoSpaceDE/>
        <w:autoSpaceDN/>
        <w:bidi w:val="0"/>
        <w:adjustRightInd w:val="0"/>
        <w:snapToGrid w:val="0"/>
        <w:spacing w:line="560" w:lineRule="exact"/>
        <w:ind w:firstLine="640" w:firstLineChars="200"/>
        <w:textAlignment w:val="auto"/>
        <w:rPr>
          <w:rFonts w:hint="default" w:eastAsia="仿宋_GB2312"/>
          <w:color w:val="000000"/>
          <w:kern w:val="0"/>
          <w:sz w:val="32"/>
        </w:rPr>
      </w:pPr>
      <w:r>
        <w:rPr>
          <w:rFonts w:hint="default" w:eastAsia="仿宋_GB2312"/>
          <w:color w:val="000000"/>
          <w:sz w:val="32"/>
          <w:highlight w:val="none"/>
        </w:rPr>
        <w:t>（</w:t>
      </w:r>
      <w:r>
        <w:rPr>
          <w:rFonts w:hint="eastAsia" w:eastAsia="仿宋_GB2312"/>
          <w:color w:val="000000"/>
          <w:sz w:val="32"/>
          <w:highlight w:val="none"/>
          <w:lang w:val="en-US" w:eastAsia="zh-CN"/>
        </w:rPr>
        <w:t>六</w:t>
      </w:r>
      <w:r>
        <w:rPr>
          <w:rFonts w:hint="default" w:eastAsia="仿宋_GB2312"/>
          <w:color w:val="000000"/>
          <w:sz w:val="32"/>
          <w:highlight w:val="none"/>
        </w:rPr>
        <w:t>）</w:t>
      </w:r>
      <w:r>
        <w:rPr>
          <w:rFonts w:hint="default" w:eastAsia="仿宋_GB2312"/>
          <w:color w:val="000000"/>
          <w:kern w:val="0"/>
          <w:sz w:val="32"/>
        </w:rPr>
        <w:t>会同市财政部门组织专项资金收回统筹使用工作，以及对违反资金使用有关规定的专项资金使用单位依法进行处理。</w:t>
      </w:r>
    </w:p>
    <w:p>
      <w:pPr>
        <w:pStyle w:val="9"/>
        <w:pageBreakBefore w:val="0"/>
        <w:kinsoku/>
        <w:wordWrap/>
        <w:overflowPunct/>
        <w:topLinePunct w:val="0"/>
        <w:autoSpaceDE/>
        <w:autoSpaceDN/>
        <w:bidi w:val="0"/>
        <w:adjustRightInd w:val="0"/>
        <w:snapToGrid w:val="0"/>
        <w:spacing w:line="560" w:lineRule="exact"/>
        <w:ind w:firstLine="640" w:firstLineChars="200"/>
        <w:textAlignment w:val="auto"/>
        <w:rPr>
          <w:rFonts w:hint="default" w:eastAsia="仿宋_GB2312"/>
          <w:color w:val="000000"/>
          <w:kern w:val="0"/>
          <w:sz w:val="32"/>
        </w:rPr>
      </w:pPr>
      <w:r>
        <w:rPr>
          <w:rFonts w:hint="default" w:eastAsia="仿宋_GB2312"/>
          <w:color w:val="000000"/>
          <w:kern w:val="0"/>
          <w:sz w:val="32"/>
        </w:rPr>
        <w:t>市财政部门是专项资金的监管部门，其职责是：</w:t>
      </w:r>
    </w:p>
    <w:p>
      <w:pPr>
        <w:pStyle w:val="9"/>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color w:val="000000"/>
          <w:kern w:val="0"/>
          <w:sz w:val="32"/>
          <w:lang w:eastAsia="zh-CN"/>
        </w:rPr>
      </w:pPr>
      <w:r>
        <w:rPr>
          <w:rFonts w:hint="default" w:eastAsia="仿宋_GB2312"/>
          <w:color w:val="000000"/>
          <w:kern w:val="0"/>
          <w:sz w:val="32"/>
        </w:rPr>
        <w:t>（一）审核</w:t>
      </w:r>
      <w:r>
        <w:rPr>
          <w:rFonts w:hint="eastAsia" w:eastAsia="仿宋_GB2312"/>
          <w:color w:val="000000"/>
          <w:kern w:val="0"/>
          <w:sz w:val="32"/>
          <w:lang w:val="en-US" w:eastAsia="zh-CN"/>
        </w:rPr>
        <w:t>并批复</w:t>
      </w:r>
      <w:r>
        <w:rPr>
          <w:rFonts w:hint="default" w:eastAsia="仿宋_GB2312"/>
          <w:color w:val="000000"/>
          <w:kern w:val="0"/>
          <w:sz w:val="32"/>
        </w:rPr>
        <w:t>专项资金</w:t>
      </w:r>
      <w:r>
        <w:rPr>
          <w:rFonts w:hint="eastAsia" w:eastAsia="仿宋_GB2312"/>
          <w:color w:val="000000"/>
          <w:kern w:val="0"/>
          <w:sz w:val="32"/>
          <w:lang w:val="en-US" w:eastAsia="zh-CN"/>
        </w:rPr>
        <w:t>的</w:t>
      </w:r>
      <w:r>
        <w:rPr>
          <w:rFonts w:hint="default" w:eastAsia="仿宋_GB2312"/>
          <w:color w:val="000000"/>
          <w:kern w:val="0"/>
          <w:sz w:val="32"/>
        </w:rPr>
        <w:t>年度预算</w:t>
      </w:r>
      <w:r>
        <w:rPr>
          <w:rFonts w:hint="eastAsia" w:eastAsia="仿宋_GB2312"/>
          <w:color w:val="000000"/>
          <w:kern w:val="0"/>
          <w:sz w:val="32"/>
          <w:lang w:eastAsia="zh-CN"/>
        </w:rPr>
        <w:t>；</w:t>
      </w:r>
    </w:p>
    <w:p>
      <w:pPr>
        <w:pStyle w:val="9"/>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color w:val="000000"/>
          <w:kern w:val="0"/>
          <w:sz w:val="32"/>
          <w:lang w:eastAsia="zh-CN"/>
        </w:rPr>
      </w:pPr>
      <w:r>
        <w:rPr>
          <w:rFonts w:hint="default" w:eastAsia="仿宋_GB2312"/>
          <w:color w:val="000000"/>
          <w:kern w:val="0"/>
          <w:sz w:val="32"/>
        </w:rPr>
        <w:t>（二）</w:t>
      </w:r>
      <w:r>
        <w:rPr>
          <w:rFonts w:hint="eastAsia" w:ascii="仿宋_GB2312" w:eastAsia="仿宋_GB2312"/>
          <w:color w:val="auto"/>
          <w:kern w:val="0"/>
          <w:sz w:val="32"/>
          <w:lang w:eastAsia="zh-CN"/>
        </w:rPr>
        <w:t>按照经</w:t>
      </w:r>
      <w:r>
        <w:rPr>
          <w:rFonts w:hint="default" w:eastAsia="仿宋_GB2312"/>
          <w:color w:val="000000"/>
          <w:kern w:val="0"/>
          <w:sz w:val="32"/>
        </w:rPr>
        <w:t>市政府批准后的分配方案按规定拨付资金</w:t>
      </w:r>
      <w:r>
        <w:rPr>
          <w:rFonts w:hint="eastAsia" w:eastAsia="仿宋_GB2312"/>
          <w:color w:val="000000"/>
          <w:kern w:val="0"/>
          <w:sz w:val="32"/>
          <w:lang w:eastAsia="zh-CN"/>
        </w:rPr>
        <w:t>；</w:t>
      </w:r>
    </w:p>
    <w:p>
      <w:pPr>
        <w:pStyle w:val="9"/>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color w:val="000000"/>
          <w:kern w:val="0"/>
          <w:sz w:val="32"/>
          <w:lang w:eastAsia="zh-CN"/>
        </w:rPr>
      </w:pPr>
      <w:r>
        <w:rPr>
          <w:rFonts w:hint="default" w:eastAsia="仿宋_GB2312"/>
          <w:color w:val="000000"/>
          <w:kern w:val="0"/>
          <w:sz w:val="32"/>
        </w:rPr>
        <w:t>（三）监督检查专项资金的管理和使用情况，按规定选择重点项目实施抽查评价</w:t>
      </w:r>
      <w:r>
        <w:rPr>
          <w:rFonts w:hint="eastAsia" w:eastAsia="仿宋_GB2312"/>
          <w:color w:val="000000"/>
          <w:kern w:val="0"/>
          <w:sz w:val="32"/>
          <w:lang w:eastAsia="zh-CN"/>
        </w:rPr>
        <w:t>；会同</w:t>
      </w:r>
      <w:r>
        <w:rPr>
          <w:rFonts w:hint="eastAsia" w:eastAsia="仿宋_GB2312"/>
          <w:color w:val="000000"/>
          <w:kern w:val="0"/>
          <w:sz w:val="32"/>
          <w:lang w:val="en-US" w:eastAsia="zh-CN"/>
        </w:rPr>
        <w:t>金融</w:t>
      </w:r>
      <w:r>
        <w:rPr>
          <w:rFonts w:hint="eastAsia" w:eastAsia="仿宋_GB2312"/>
          <w:color w:val="000000"/>
          <w:kern w:val="0"/>
          <w:sz w:val="32"/>
          <w:lang w:eastAsia="zh-CN"/>
        </w:rPr>
        <w:t>部门对专项资金进行绩效评价；</w:t>
      </w:r>
    </w:p>
    <w:p>
      <w:pPr>
        <w:pStyle w:val="9"/>
        <w:pageBreakBefore w:val="0"/>
        <w:kinsoku/>
        <w:wordWrap/>
        <w:overflowPunct/>
        <w:topLinePunct w:val="0"/>
        <w:autoSpaceDE/>
        <w:autoSpaceDN/>
        <w:bidi w:val="0"/>
        <w:adjustRightInd w:val="0"/>
        <w:snapToGrid w:val="0"/>
        <w:spacing w:line="560" w:lineRule="exact"/>
        <w:ind w:firstLine="640" w:firstLineChars="200"/>
        <w:textAlignment w:val="auto"/>
        <w:rPr>
          <w:rFonts w:hint="default" w:eastAsia="仿宋_GB2312"/>
          <w:color w:val="000000"/>
          <w:kern w:val="0"/>
          <w:sz w:val="32"/>
        </w:rPr>
      </w:pPr>
      <w:r>
        <w:rPr>
          <w:rFonts w:hint="default" w:eastAsia="仿宋_GB2312"/>
          <w:color w:val="000000"/>
          <w:kern w:val="0"/>
          <w:sz w:val="32"/>
        </w:rPr>
        <w:t>（四）会同市金融工作局做好专项资金收回统筹使用等相关工作；</w:t>
      </w:r>
    </w:p>
    <w:p>
      <w:pPr>
        <w:pStyle w:val="9"/>
        <w:pageBreakBefore w:val="0"/>
        <w:kinsoku/>
        <w:wordWrap/>
        <w:overflowPunct/>
        <w:topLinePunct w:val="0"/>
        <w:autoSpaceDE/>
        <w:autoSpaceDN/>
        <w:bidi w:val="0"/>
        <w:adjustRightInd w:val="0"/>
        <w:snapToGrid w:val="0"/>
        <w:spacing w:line="560" w:lineRule="exact"/>
        <w:ind w:firstLine="640" w:firstLineChars="200"/>
        <w:textAlignment w:val="auto"/>
        <w:rPr>
          <w:rFonts w:hint="default" w:eastAsia="仿宋_GB2312"/>
          <w:color w:val="000000"/>
          <w:kern w:val="0"/>
          <w:sz w:val="32"/>
        </w:rPr>
      </w:pPr>
      <w:r>
        <w:rPr>
          <w:rFonts w:hint="default" w:eastAsia="仿宋_GB2312"/>
          <w:color w:val="000000"/>
          <w:kern w:val="0"/>
          <w:sz w:val="32"/>
        </w:rPr>
        <w:t>（五）负责建设维护佛山市政府扶持资金综合服务平台（以下简称</w:t>
      </w:r>
      <w:r>
        <w:rPr>
          <w:rFonts w:hint="eastAsia" w:eastAsia="仿宋_GB2312"/>
          <w:color w:val="000000"/>
          <w:kern w:val="0"/>
          <w:sz w:val="32"/>
          <w:lang w:eastAsia="zh-CN"/>
        </w:rPr>
        <w:t>“</w:t>
      </w:r>
      <w:r>
        <w:rPr>
          <w:rFonts w:hint="default" w:eastAsia="仿宋_GB2312"/>
          <w:color w:val="000000"/>
          <w:kern w:val="0"/>
          <w:sz w:val="32"/>
        </w:rPr>
        <w:t>佛山扶持通</w:t>
      </w:r>
      <w:r>
        <w:rPr>
          <w:rFonts w:hint="eastAsia" w:eastAsia="仿宋_GB2312"/>
          <w:color w:val="000000"/>
          <w:kern w:val="0"/>
          <w:sz w:val="32"/>
          <w:lang w:eastAsia="zh-CN"/>
        </w:rPr>
        <w:t>”</w:t>
      </w:r>
      <w:r>
        <w:rPr>
          <w:rFonts w:hint="default" w:eastAsia="仿宋_GB2312"/>
          <w:color w:val="000000"/>
          <w:kern w:val="0"/>
          <w:sz w:val="32"/>
        </w:rPr>
        <w:t>），供专项资金使用单位实行网上申报。</w:t>
      </w:r>
    </w:p>
    <w:p>
      <w:pPr>
        <w:pStyle w:val="9"/>
        <w:pageBreakBefore w:val="0"/>
        <w:kinsoku/>
        <w:wordWrap/>
        <w:overflowPunct/>
        <w:topLinePunct w:val="0"/>
        <w:autoSpaceDE/>
        <w:autoSpaceDN/>
        <w:bidi w:val="0"/>
        <w:adjustRightInd w:val="0"/>
        <w:snapToGrid w:val="0"/>
        <w:spacing w:line="560" w:lineRule="exact"/>
        <w:ind w:firstLine="640" w:firstLineChars="200"/>
        <w:textAlignment w:val="auto"/>
        <w:rPr>
          <w:rFonts w:hint="default" w:eastAsia="仿宋_GB2312"/>
          <w:color w:val="000000"/>
          <w:kern w:val="0"/>
          <w:sz w:val="32"/>
          <w:lang w:val="en-US" w:eastAsia="zh-CN"/>
        </w:rPr>
      </w:pPr>
      <w:r>
        <w:rPr>
          <w:rFonts w:hint="eastAsia" w:eastAsia="仿宋_GB2312"/>
          <w:color w:val="000000"/>
          <w:kern w:val="0"/>
          <w:sz w:val="32"/>
          <w:lang w:val="en-US" w:eastAsia="zh-CN"/>
        </w:rPr>
        <w:t>各区金融主管部门和同级财政部门按职能分工组织本地区所属企业、机构支持</w:t>
      </w:r>
      <w:r>
        <w:rPr>
          <w:rFonts w:hint="eastAsia" w:ascii="仿宋_GB2312" w:hAnsi="仿宋_GB2312" w:eastAsia="仿宋_GB2312" w:cs="仿宋_GB2312"/>
          <w:sz w:val="32"/>
          <w:szCs w:val="32"/>
          <w:lang w:val="en-US" w:eastAsia="zh-CN"/>
        </w:rPr>
        <w:t>产业并购专项资金的项目申报、初审、资金拨付、监督及绩效评价等工作。</w:t>
      </w:r>
    </w:p>
    <w:p>
      <w:pPr>
        <w:pStyle w:val="9"/>
        <w:pageBreakBefore w:val="0"/>
        <w:kinsoku/>
        <w:wordWrap/>
        <w:overflowPunct/>
        <w:topLinePunct w:val="0"/>
        <w:autoSpaceDE/>
        <w:autoSpaceDN/>
        <w:bidi w:val="0"/>
        <w:adjustRightInd w:val="0"/>
        <w:snapToGrid w:val="0"/>
        <w:spacing w:line="560" w:lineRule="exact"/>
        <w:ind w:firstLine="640" w:firstLineChars="200"/>
        <w:textAlignment w:val="auto"/>
        <w:rPr>
          <w:rFonts w:hint="default" w:eastAsia="仿宋_GB2312"/>
          <w:color w:val="000000"/>
          <w:kern w:val="0"/>
          <w:sz w:val="32"/>
          <w:lang w:val="en-US" w:eastAsia="zh-CN"/>
        </w:rPr>
      </w:pPr>
    </w:p>
    <w:p>
      <w:pPr>
        <w:pageBreakBefore w:val="0"/>
        <w:numPr>
          <w:ilvl w:val="0"/>
          <w:numId w:val="1"/>
        </w:numPr>
        <w:kinsoku/>
        <w:wordWrap/>
        <w:overflowPunct/>
        <w:topLinePunct w:val="0"/>
        <w:autoSpaceDE/>
        <w:autoSpaceDN/>
        <w:bidi w:val="0"/>
        <w:spacing w:line="560" w:lineRule="exact"/>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支持对象和使用范围</w:t>
      </w:r>
    </w:p>
    <w:p>
      <w:pPr>
        <w:pStyle w:val="11"/>
        <w:pageBreakBefore w:val="0"/>
        <w:tabs>
          <w:tab w:val="left" w:pos="2518"/>
        </w:tabs>
        <w:kinsoku/>
        <w:wordWrap/>
        <w:overflowPunct/>
        <w:topLinePunct w:val="0"/>
        <w:autoSpaceDE/>
        <w:autoSpaceDN/>
        <w:bidi w:val="0"/>
        <w:adjustRightInd w:val="0"/>
        <w:snapToGrid w:val="0"/>
        <w:spacing w:line="560" w:lineRule="exact"/>
        <w:ind w:firstLine="640"/>
        <w:textAlignment w:val="auto"/>
        <w:rPr>
          <w:rFonts w:hint="eastAsia" w:eastAsia="仿宋_GB2312"/>
          <w:color w:val="000000"/>
          <w:sz w:val="32"/>
        </w:rPr>
      </w:pPr>
      <w:r>
        <w:rPr>
          <w:rFonts w:hint="default" w:eastAsia="黑体"/>
          <w:sz w:val="32"/>
          <w:szCs w:val="32"/>
        </w:rPr>
        <w:t>第</w:t>
      </w:r>
      <w:r>
        <w:rPr>
          <w:rFonts w:hint="eastAsia" w:eastAsia="黑体"/>
          <w:sz w:val="32"/>
          <w:szCs w:val="32"/>
          <w:lang w:val="en-US" w:eastAsia="zh-CN"/>
        </w:rPr>
        <w:t>七</w:t>
      </w:r>
      <w:r>
        <w:rPr>
          <w:rFonts w:hint="default" w:eastAsia="黑体"/>
          <w:sz w:val="32"/>
          <w:szCs w:val="32"/>
        </w:rPr>
        <w:t>条</w:t>
      </w:r>
      <w:r>
        <w:rPr>
          <w:rFonts w:hint="default" w:eastAsia="仿宋_GB2312"/>
          <w:sz w:val="32"/>
          <w:szCs w:val="32"/>
        </w:rPr>
        <w:t xml:space="preserve"> </w:t>
      </w:r>
      <w:r>
        <w:rPr>
          <w:rFonts w:hint="default" w:eastAsia="仿宋_GB2312"/>
          <w:color w:val="000000"/>
          <w:sz w:val="32"/>
        </w:rPr>
        <w:t>专项资金支持</w:t>
      </w:r>
      <w:r>
        <w:rPr>
          <w:rFonts w:eastAsia="仿宋_GB2312"/>
          <w:color w:val="000000"/>
          <w:sz w:val="32"/>
        </w:rPr>
        <w:t>对象</w:t>
      </w:r>
      <w:r>
        <w:rPr>
          <w:rFonts w:hint="eastAsia" w:eastAsia="仿宋_GB2312"/>
          <w:color w:val="000000"/>
          <w:sz w:val="32"/>
          <w:lang w:val="en-US" w:eastAsia="zh-CN"/>
        </w:rPr>
        <w:t>为2022年7月4日—2025年7月5日期间成功实施产业并购的行业骨干企业，以及为上述行业骨干企业成功并购提供专业服务的证券机构。每年度市级财政支出上限为3000万元</w:t>
      </w:r>
      <w:r>
        <w:rPr>
          <w:rFonts w:hint="eastAsia" w:eastAsia="仿宋_GB2312"/>
          <w:color w:val="000000"/>
          <w:sz w:val="32"/>
        </w:rPr>
        <w:t>。</w:t>
      </w:r>
    </w:p>
    <w:p>
      <w:pPr>
        <w:pStyle w:val="11"/>
        <w:pageBreakBefore w:val="0"/>
        <w:tabs>
          <w:tab w:val="left" w:pos="2518"/>
        </w:tabs>
        <w:kinsoku/>
        <w:wordWrap/>
        <w:overflowPunct/>
        <w:topLinePunct w:val="0"/>
        <w:autoSpaceDE/>
        <w:autoSpaceDN/>
        <w:bidi w:val="0"/>
        <w:adjustRightInd w:val="0"/>
        <w:snapToGrid w:val="0"/>
        <w:spacing w:line="560" w:lineRule="exact"/>
        <w:ind w:firstLine="640"/>
        <w:textAlignment w:val="auto"/>
        <w:rPr>
          <w:rFonts w:hint="default" w:eastAsia="仿宋_GB2312"/>
          <w:sz w:val="32"/>
        </w:rPr>
      </w:pPr>
      <w:r>
        <w:rPr>
          <w:rFonts w:hint="default" w:eastAsia="黑体"/>
          <w:sz w:val="32"/>
          <w:szCs w:val="32"/>
        </w:rPr>
        <w:t>第</w:t>
      </w:r>
      <w:r>
        <w:rPr>
          <w:rFonts w:hint="eastAsia" w:eastAsia="黑体"/>
          <w:sz w:val="32"/>
          <w:szCs w:val="32"/>
          <w:lang w:val="en-US" w:eastAsia="zh-CN"/>
        </w:rPr>
        <w:t>八</w:t>
      </w:r>
      <w:r>
        <w:rPr>
          <w:rFonts w:hint="default" w:eastAsia="黑体"/>
          <w:sz w:val="32"/>
          <w:szCs w:val="32"/>
        </w:rPr>
        <w:t>条</w:t>
      </w:r>
      <w:r>
        <w:rPr>
          <w:rFonts w:eastAsia="仿宋_GB2312"/>
          <w:color w:val="000000"/>
          <w:sz w:val="32"/>
        </w:rPr>
        <w:t xml:space="preserve"> </w:t>
      </w:r>
      <w:r>
        <w:rPr>
          <w:rFonts w:hint="eastAsia" w:eastAsia="仿宋_GB2312"/>
          <w:sz w:val="32"/>
          <w:szCs w:val="32"/>
          <w:lang w:val="en-US" w:eastAsia="zh-CN"/>
        </w:rPr>
        <w:t>专项资金</w:t>
      </w:r>
      <w:r>
        <w:rPr>
          <w:rFonts w:hint="default" w:eastAsia="仿宋_GB2312"/>
          <w:sz w:val="32"/>
          <w:szCs w:val="32"/>
        </w:rPr>
        <w:t>支持范围</w:t>
      </w:r>
      <w:r>
        <w:rPr>
          <w:rFonts w:eastAsia="仿宋_GB2312"/>
          <w:sz w:val="32"/>
          <w:szCs w:val="32"/>
        </w:rPr>
        <w:t>主要</w:t>
      </w:r>
      <w:r>
        <w:rPr>
          <w:rFonts w:hint="default" w:eastAsia="仿宋_GB2312"/>
          <w:sz w:val="32"/>
        </w:rPr>
        <w:t>包括以下方面：</w:t>
      </w:r>
    </w:p>
    <w:p>
      <w:pPr>
        <w:pStyle w:val="11"/>
        <w:keepNext w:val="0"/>
        <w:keepLines w:val="0"/>
        <w:pageBreakBefore w:val="0"/>
        <w:widowControl w:val="0"/>
        <w:numPr>
          <w:ilvl w:val="0"/>
          <w:numId w:val="0"/>
        </w:numPr>
        <w:tabs>
          <w:tab w:val="left" w:pos="2518"/>
        </w:tabs>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highlight w:val="none"/>
          <w:lang w:val="en-US" w:eastAsia="zh-CN"/>
        </w:rPr>
      </w:pPr>
      <w:r>
        <w:rPr>
          <w:rFonts w:hint="eastAsia" w:ascii="楷体_GB2312" w:hAnsi="楷体_GB2312" w:eastAsia="楷体_GB2312" w:cs="楷体_GB2312"/>
          <w:sz w:val="32"/>
          <w:highlight w:val="none"/>
          <w:lang w:val="en-US" w:eastAsia="zh-CN"/>
        </w:rPr>
        <w:t>（一）对行业骨干企业成功实施产业并购进行补助。</w:t>
      </w:r>
    </w:p>
    <w:p>
      <w:pPr>
        <w:pStyle w:val="11"/>
        <w:pageBreakBefore w:val="0"/>
        <w:tabs>
          <w:tab w:val="left" w:pos="2518"/>
        </w:tabs>
        <w:kinsoku/>
        <w:wordWrap/>
        <w:overflowPunct/>
        <w:topLinePunct w:val="0"/>
        <w:autoSpaceDE/>
        <w:autoSpaceDN/>
        <w:bidi w:val="0"/>
        <w:adjustRightInd w:val="0"/>
        <w:snapToGrid w:val="0"/>
        <w:spacing w:line="560" w:lineRule="exact"/>
        <w:ind w:firstLine="640"/>
        <w:textAlignment w:val="auto"/>
        <w:rPr>
          <w:rFonts w:hint="eastAsia" w:eastAsia="仿宋_GB2312"/>
          <w:sz w:val="32"/>
          <w:highlight w:val="none"/>
          <w:lang w:val="en-US" w:eastAsia="zh-CN"/>
        </w:rPr>
      </w:pPr>
      <w:r>
        <w:rPr>
          <w:rFonts w:hint="eastAsia" w:ascii="仿宋_GB2312" w:hAnsi="仿宋_GB2312" w:eastAsia="仿宋_GB2312" w:cs="仿宋_GB2312"/>
          <w:color w:val="auto"/>
          <w:kern w:val="2"/>
          <w:sz w:val="32"/>
          <w:szCs w:val="32"/>
          <w:highlight w:val="none"/>
          <w:shd w:val="clear" w:color="auto" w:fill="FFFFFF"/>
          <w:lang w:val="en-US" w:eastAsia="zh-CN"/>
        </w:rPr>
        <w:t>1.对行业骨干企业首次成功并购，且实际支付金额（包括现金支付或股份支付部分）在5000万元（含）以上的，给予一次性扶持资金30万元。</w:t>
      </w:r>
    </w:p>
    <w:p>
      <w:pPr>
        <w:pStyle w:val="11"/>
        <w:keepNext w:val="0"/>
        <w:keepLines w:val="0"/>
        <w:pageBreakBefore w:val="0"/>
        <w:widowControl w:val="0"/>
        <w:numPr>
          <w:ilvl w:val="0"/>
          <w:numId w:val="0"/>
        </w:numPr>
        <w:tabs>
          <w:tab w:val="left" w:pos="2518"/>
        </w:tabs>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highlight w:val="none"/>
          <w:lang w:val="en-US" w:eastAsia="zh-CN"/>
        </w:rPr>
      </w:pPr>
      <w:r>
        <w:rPr>
          <w:rFonts w:hint="eastAsia" w:ascii="仿宋_GB2312" w:hAnsi="仿宋_GB2312" w:eastAsia="仿宋_GB2312" w:cs="仿宋_GB2312"/>
          <w:sz w:val="32"/>
          <w:highlight w:val="none"/>
          <w:lang w:val="en-US" w:eastAsia="zh-CN"/>
        </w:rPr>
        <w:t>2.</w:t>
      </w:r>
      <w:r>
        <w:rPr>
          <w:rFonts w:hint="eastAsia" w:eastAsia="仿宋_GB2312"/>
          <w:sz w:val="32"/>
          <w:highlight w:val="none"/>
          <w:lang w:val="en-US" w:eastAsia="zh-CN"/>
        </w:rPr>
        <w:t>对行业骨干企业通过并购专项贷款成功实施并购的，按并购贷款实际发生额的2%予以贴息（贷款期限不足1年的按月折算），单笔贷款贴息时间最长3年，单家企业每年最高贴息300万元。</w:t>
      </w:r>
    </w:p>
    <w:p>
      <w:pPr>
        <w:pStyle w:val="11"/>
        <w:keepNext w:val="0"/>
        <w:keepLines w:val="0"/>
        <w:pageBreakBefore w:val="0"/>
        <w:widowControl w:val="0"/>
        <w:numPr>
          <w:ilvl w:val="0"/>
          <w:numId w:val="0"/>
        </w:numPr>
        <w:tabs>
          <w:tab w:val="left" w:pos="2518"/>
        </w:tabs>
        <w:kinsoku/>
        <w:wordWrap/>
        <w:overflowPunct/>
        <w:topLinePunct w:val="0"/>
        <w:autoSpaceDE/>
        <w:autoSpaceDN/>
        <w:bidi w:val="0"/>
        <w:adjustRightInd w:val="0"/>
        <w:snapToGrid w:val="0"/>
        <w:spacing w:line="560" w:lineRule="exact"/>
        <w:ind w:firstLine="640" w:firstLineChars="200"/>
        <w:textAlignment w:val="auto"/>
        <w:rPr>
          <w:rFonts w:hint="default" w:eastAsia="仿宋_GB2312"/>
          <w:sz w:val="32"/>
          <w:highlight w:val="none"/>
          <w:lang w:val="en-US" w:eastAsia="zh-CN"/>
        </w:rPr>
      </w:pPr>
      <w:r>
        <w:rPr>
          <w:rFonts w:hint="eastAsia" w:ascii="仿宋_GB2312" w:hAnsi="仿宋_GB2312" w:eastAsia="仿宋_GB2312" w:cs="仿宋_GB2312"/>
          <w:sz w:val="32"/>
          <w:highlight w:val="none"/>
          <w:lang w:val="en-US" w:eastAsia="zh-CN"/>
        </w:rPr>
        <w:t>3.</w:t>
      </w:r>
      <w:r>
        <w:rPr>
          <w:rFonts w:hint="default" w:eastAsia="仿宋_GB2312"/>
          <w:sz w:val="32"/>
          <w:highlight w:val="none"/>
          <w:lang w:val="en-US" w:eastAsia="zh-CN"/>
        </w:rPr>
        <w:t>对行业骨干企业成功实施并购的，对于实际发生的中介服务费用（包括但不限于券商、律师、会计师、咨询机构等费用）给予50%的补贴，单个项目最高补贴50万元，单家企业每年最高补贴100万元。</w:t>
      </w:r>
    </w:p>
    <w:p>
      <w:pPr>
        <w:pStyle w:val="11"/>
        <w:keepNext w:val="0"/>
        <w:keepLines w:val="0"/>
        <w:pageBreakBefore w:val="0"/>
        <w:tabs>
          <w:tab w:val="left" w:pos="2518"/>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4.对一年内为成功并购案例提供专业服务超过3次的证券机构，给予一次性扶持50万元。</w:t>
      </w:r>
    </w:p>
    <w:p>
      <w:pPr>
        <w:pStyle w:val="11"/>
        <w:keepNext w:val="0"/>
        <w:keepLines w:val="0"/>
        <w:pageBreakBefore w:val="0"/>
        <w:tabs>
          <w:tab w:val="left" w:pos="2518"/>
        </w:tabs>
        <w:kinsoku/>
        <w:wordWrap/>
        <w:overflowPunct/>
        <w:topLinePunct w:val="0"/>
        <w:autoSpaceDE/>
        <w:autoSpaceDN/>
        <w:bidi w:val="0"/>
        <w:adjustRightInd w:val="0"/>
        <w:snapToGrid w:val="0"/>
        <w:spacing w:line="560" w:lineRule="exact"/>
        <w:ind w:firstLine="640"/>
        <w:textAlignment w:val="auto"/>
        <w:rPr>
          <w:rFonts w:hint="eastAsia" w:ascii="楷体_GB2312" w:hAnsi="楷体_GB2312" w:eastAsia="楷体_GB2312" w:cs="楷体_GB2312"/>
          <w:sz w:val="32"/>
          <w:highlight w:val="none"/>
          <w:lang w:val="en-US" w:eastAsia="zh-CN"/>
        </w:rPr>
      </w:pPr>
      <w:r>
        <w:rPr>
          <w:rFonts w:hint="eastAsia" w:ascii="楷体_GB2312" w:hAnsi="楷体_GB2312" w:eastAsia="楷体_GB2312" w:cs="楷体_GB2312"/>
          <w:sz w:val="32"/>
          <w:highlight w:val="none"/>
          <w:lang w:val="en-US" w:eastAsia="zh-CN"/>
        </w:rPr>
        <w:t>（二）对通过并购迁入我市的企业进行扶持。</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辖内行业骨干企业成功并购控股境内（市外）上市公司，并将其迁入佛山的，给予一次性扶持资金400万元；成功并购控股境内（市外）国家级制造业单项冠军、专精特新</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小巨人</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企业，并将其迁入佛山的，按迁入企业净资产价值的10%给予补贴，最高不超过100万元。</w:t>
      </w:r>
    </w:p>
    <w:p>
      <w:pPr>
        <w:pStyle w:val="11"/>
        <w:keepNext w:val="0"/>
        <w:keepLines w:val="0"/>
        <w:pageBreakBefore w:val="0"/>
        <w:widowControl w:val="0"/>
        <w:numPr>
          <w:ilvl w:val="0"/>
          <w:numId w:val="0"/>
        </w:numPr>
        <w:tabs>
          <w:tab w:val="left" w:pos="2518"/>
        </w:tabs>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highlight w:val="none"/>
          <w:lang w:val="en-US" w:eastAsia="zh-CN"/>
        </w:rPr>
      </w:pPr>
      <w:r>
        <w:rPr>
          <w:rFonts w:hint="eastAsia" w:ascii="楷体_GB2312" w:hAnsi="楷体_GB2312" w:eastAsia="楷体_GB2312" w:cs="楷体_GB2312"/>
          <w:sz w:val="32"/>
          <w:highlight w:val="none"/>
          <w:lang w:val="en-US" w:eastAsia="zh-CN"/>
        </w:rPr>
        <w:t>（三）支持行业骨干企业并购辖区产业链重点企业。</w:t>
      </w:r>
    </w:p>
    <w:p>
      <w:pPr>
        <w:pStyle w:val="11"/>
        <w:keepNext w:val="0"/>
        <w:keepLines w:val="0"/>
        <w:pageBreakBefore w:val="0"/>
        <w:widowControl w:val="0"/>
        <w:numPr>
          <w:ilvl w:val="0"/>
          <w:numId w:val="0"/>
        </w:numPr>
        <w:tabs>
          <w:tab w:val="left" w:pos="2518"/>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对于行业骨干企业成功并购辖内产业链重点企业，经认定后，按照实际支付额（包括现金支付或股份支付部分）的10%给予扶持，单个企业每年最高补贴100万元。</w:t>
      </w:r>
    </w:p>
    <w:p>
      <w:pPr>
        <w:pStyle w:val="11"/>
        <w:pageBreakBefore w:val="0"/>
        <w:tabs>
          <w:tab w:val="left" w:pos="2518"/>
        </w:tabs>
        <w:kinsoku/>
        <w:wordWrap/>
        <w:overflowPunct/>
        <w:topLinePunct w:val="0"/>
        <w:autoSpaceDE/>
        <w:autoSpaceDN/>
        <w:bidi w:val="0"/>
        <w:adjustRightInd w:val="0"/>
        <w:snapToGrid w:val="0"/>
        <w:spacing w:line="560" w:lineRule="exact"/>
        <w:textAlignment w:val="auto"/>
        <w:rPr>
          <w:rFonts w:hint="default" w:eastAsia="仿宋_GB2312"/>
          <w:color w:val="FF0000"/>
          <w:sz w:val="32"/>
        </w:rPr>
      </w:pPr>
    </w:p>
    <w:p>
      <w:pPr>
        <w:pageBreakBefore w:val="0"/>
        <w:numPr>
          <w:ilvl w:val="0"/>
          <w:numId w:val="1"/>
        </w:numPr>
        <w:kinsoku/>
        <w:wordWrap/>
        <w:overflowPunct/>
        <w:topLinePunct w:val="0"/>
        <w:autoSpaceDE/>
        <w:autoSpaceDN/>
        <w:bidi w:val="0"/>
        <w:spacing w:line="560" w:lineRule="exact"/>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资金申报、审批及拨付</w:t>
      </w:r>
    </w:p>
    <w:p>
      <w:pPr>
        <w:pStyle w:val="11"/>
        <w:pageBreakBefore w:val="0"/>
        <w:kinsoku/>
        <w:wordWrap/>
        <w:overflowPunct/>
        <w:topLinePunct w:val="0"/>
        <w:autoSpaceDE/>
        <w:autoSpaceDN/>
        <w:bidi w:val="0"/>
        <w:adjustRightInd w:val="0"/>
        <w:snapToGrid w:val="0"/>
        <w:spacing w:line="560" w:lineRule="exact"/>
        <w:ind w:firstLine="640" w:firstLineChars="200"/>
        <w:textAlignment w:val="auto"/>
        <w:rPr>
          <w:rFonts w:hint="default" w:eastAsia="仿宋_GB2312"/>
          <w:sz w:val="32"/>
        </w:rPr>
      </w:pPr>
      <w:r>
        <w:rPr>
          <w:rFonts w:hint="default" w:eastAsia="黑体"/>
          <w:sz w:val="32"/>
        </w:rPr>
        <w:t>第</w:t>
      </w:r>
      <w:r>
        <w:rPr>
          <w:rFonts w:hint="eastAsia" w:eastAsia="黑体"/>
          <w:sz w:val="32"/>
          <w:lang w:val="en-US" w:eastAsia="zh-CN"/>
        </w:rPr>
        <w:t>九</w:t>
      </w:r>
      <w:r>
        <w:rPr>
          <w:rFonts w:hint="default" w:eastAsia="黑体"/>
          <w:sz w:val="32"/>
        </w:rPr>
        <w:t>条</w:t>
      </w:r>
      <w:r>
        <w:rPr>
          <w:rFonts w:hint="default" w:eastAsia="仿宋_GB2312"/>
          <w:sz w:val="32"/>
        </w:rPr>
        <w:t xml:space="preserve"> 市金融工作局负责</w:t>
      </w:r>
      <w:r>
        <w:rPr>
          <w:rFonts w:ascii="仿宋_GB2312" w:hAnsi="仿宋_GB2312" w:eastAsia="仿宋_GB2312"/>
          <w:color w:val="auto"/>
          <w:sz w:val="32"/>
        </w:rPr>
        <w:t>制定每年的专项资金申报指南，并按照扶持政策标准化要求明确申报流程、申请材料与办理时限。</w:t>
      </w:r>
      <w:r>
        <w:rPr>
          <w:rFonts w:hint="eastAsia" w:ascii="仿宋_GB2312" w:hAnsi="仿宋_GB2312" w:eastAsia="仿宋_GB2312"/>
          <w:color w:val="auto"/>
          <w:sz w:val="32"/>
        </w:rPr>
        <w:t>申报指南通过“佛山扶持通”平台发布后由</w:t>
      </w:r>
      <w:r>
        <w:rPr>
          <w:rFonts w:hint="eastAsia" w:ascii="仿宋_GB2312" w:hAnsi="仿宋_GB2312" w:eastAsia="仿宋_GB2312"/>
          <w:color w:val="auto"/>
          <w:sz w:val="32"/>
          <w:lang w:val="en-US" w:eastAsia="zh-CN"/>
        </w:rPr>
        <w:t>市金融工作局</w:t>
      </w:r>
      <w:r>
        <w:rPr>
          <w:rFonts w:hint="eastAsia" w:ascii="仿宋_GB2312" w:hAnsi="仿宋_GB2312" w:eastAsia="仿宋_GB2312"/>
          <w:color w:val="auto"/>
          <w:sz w:val="32"/>
        </w:rPr>
        <w:t>组织申报。</w:t>
      </w:r>
    </w:p>
    <w:p>
      <w:pPr>
        <w:pStyle w:val="11"/>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textAlignment w:val="auto"/>
        <w:outlineLvl w:val="9"/>
        <w:rPr>
          <w:rFonts w:hint="default" w:ascii="仿宋_GB2312" w:eastAsia="仿宋_GB2312"/>
          <w:color w:val="auto"/>
          <w:kern w:val="0"/>
          <w:sz w:val="32"/>
          <w:u w:val="none"/>
        </w:rPr>
      </w:pPr>
      <w:r>
        <w:rPr>
          <w:rFonts w:ascii="黑体" w:hAnsi="黑体" w:eastAsia="黑体"/>
          <w:color w:val="auto"/>
          <w:sz w:val="32"/>
        </w:rPr>
        <w:t>第</w:t>
      </w:r>
      <w:r>
        <w:rPr>
          <w:rFonts w:hint="eastAsia" w:ascii="黑体" w:hAnsi="黑体" w:eastAsia="黑体"/>
          <w:color w:val="auto"/>
          <w:sz w:val="32"/>
          <w:lang w:val="en-US" w:eastAsia="zh-CN"/>
        </w:rPr>
        <w:t>十</w:t>
      </w:r>
      <w:r>
        <w:rPr>
          <w:rFonts w:ascii="黑体" w:hAnsi="黑体" w:eastAsia="黑体"/>
          <w:color w:val="auto"/>
          <w:sz w:val="32"/>
        </w:rPr>
        <w:t>条</w:t>
      </w:r>
      <w:r>
        <w:rPr>
          <w:rFonts w:hint="eastAsia" w:ascii="仿宋_GB2312" w:hAnsi="仿宋_GB2312" w:eastAsia="仿宋_GB2312"/>
          <w:color w:val="auto"/>
          <w:sz w:val="32"/>
          <w:lang w:val="en-US" w:eastAsia="zh-CN"/>
        </w:rPr>
        <w:t xml:space="preserve">  符合申报条件的专项资金使用单位按照申报要求向所在区的金融工作局（办）提交纸质申报材料，并同时通过“佛山扶持通”进行网上申报。各区金融工作局（办）对纸质材料以及平台申报记录进行初审或审批后，向市金融工作局提交线上及线下的申报材料及审核结果。市金融工作局根据需要可委托有资质的第三方中介机构对申报材料进行复审，审核结果经局党组会议同意后形成专项资金分配方案</w:t>
      </w:r>
      <w:r>
        <w:rPr>
          <w:rFonts w:hint="eastAsia" w:ascii="仿宋_GB2312" w:eastAsia="仿宋_GB2312"/>
          <w:color w:val="auto"/>
          <w:kern w:val="0"/>
          <w:sz w:val="32"/>
          <w:u w:val="none"/>
          <w:lang w:eastAsia="zh-CN"/>
        </w:rPr>
        <w:t>。</w:t>
      </w:r>
    </w:p>
    <w:p>
      <w:pPr>
        <w:pStyle w:val="11"/>
        <w:adjustRightInd w:val="0"/>
        <w:snapToGrid w:val="0"/>
        <w:spacing w:line="560" w:lineRule="exact"/>
        <w:ind w:firstLine="640" w:firstLineChars="200"/>
        <w:rPr>
          <w:rFonts w:hint="default" w:eastAsia="仿宋_GB2312"/>
          <w:kern w:val="0"/>
          <w:sz w:val="32"/>
        </w:rPr>
      </w:pPr>
      <w:r>
        <w:rPr>
          <w:rFonts w:ascii="黑体" w:hAnsi="黑体" w:eastAsia="黑体"/>
          <w:color w:val="auto"/>
          <w:kern w:val="0"/>
          <w:sz w:val="32"/>
        </w:rPr>
        <w:t>第</w:t>
      </w:r>
      <w:r>
        <w:rPr>
          <w:rFonts w:hint="eastAsia" w:ascii="黑体" w:hAnsi="黑体" w:eastAsia="黑体"/>
          <w:color w:val="auto"/>
          <w:kern w:val="0"/>
          <w:sz w:val="32"/>
          <w:lang w:val="en-US" w:eastAsia="zh-CN"/>
        </w:rPr>
        <w:t>十一</w:t>
      </w:r>
      <w:r>
        <w:rPr>
          <w:rFonts w:ascii="黑体" w:hAnsi="黑体" w:eastAsia="黑体"/>
          <w:color w:val="auto"/>
          <w:kern w:val="0"/>
          <w:sz w:val="32"/>
        </w:rPr>
        <w:t>条</w:t>
      </w:r>
      <w:r>
        <w:rPr>
          <w:rFonts w:hint="eastAsia" w:ascii="仿宋_GB2312" w:eastAsia="仿宋_GB2312"/>
          <w:color w:val="auto"/>
          <w:kern w:val="0"/>
          <w:sz w:val="32"/>
          <w:lang w:val="en-US" w:eastAsia="zh-CN"/>
        </w:rPr>
        <w:t xml:space="preserve">  </w:t>
      </w:r>
      <w:r>
        <w:rPr>
          <w:rFonts w:hint="default" w:eastAsia="仿宋_GB2312"/>
          <w:color w:val="000000"/>
          <w:kern w:val="0"/>
          <w:sz w:val="32"/>
        </w:rPr>
        <w:t>分配方案</w:t>
      </w:r>
      <w:r>
        <w:rPr>
          <w:rFonts w:hint="default" w:eastAsia="仿宋_GB2312"/>
          <w:kern w:val="0"/>
          <w:sz w:val="32"/>
        </w:rPr>
        <w:t>由</w:t>
      </w:r>
      <w:r>
        <w:rPr>
          <w:rFonts w:hint="default" w:eastAsia="仿宋_GB2312"/>
          <w:color w:val="000000"/>
          <w:kern w:val="0"/>
          <w:sz w:val="32"/>
        </w:rPr>
        <w:t>市金融工作局向全社会进行公示，公示期为</w:t>
      </w:r>
      <w:r>
        <w:rPr>
          <w:rFonts w:eastAsia="仿宋_GB2312"/>
          <w:color w:val="000000"/>
          <w:kern w:val="0"/>
          <w:sz w:val="32"/>
        </w:rPr>
        <w:t>5个工作日</w:t>
      </w:r>
      <w:r>
        <w:rPr>
          <w:rFonts w:hint="default" w:eastAsia="仿宋_GB2312"/>
          <w:color w:val="000000"/>
          <w:kern w:val="0"/>
          <w:sz w:val="32"/>
        </w:rPr>
        <w:t>，公示网站为</w:t>
      </w:r>
      <w:r>
        <w:rPr>
          <w:rFonts w:hint="default" w:eastAsia="仿宋_GB2312"/>
          <w:sz w:val="32"/>
        </w:rPr>
        <w:t>市金融工作局官方网站和</w:t>
      </w:r>
      <w:r>
        <w:rPr>
          <w:rFonts w:hint="default" w:eastAsia="仿宋_GB2312"/>
          <w:color w:val="000000"/>
          <w:kern w:val="0"/>
          <w:sz w:val="32"/>
        </w:rPr>
        <w:t>“佛山扶持通”平台。在公示期间，对分配方案有异议的，由市金融工作局会同有关区金融工作局（办）进行调查，并对调查结果进行公示。专项资金形成最终分配结果后，按照</w:t>
      </w:r>
      <w:r>
        <w:rPr>
          <w:rFonts w:hint="eastAsia" w:eastAsia="仿宋_GB2312"/>
          <w:color w:val="000000"/>
          <w:kern w:val="0"/>
          <w:sz w:val="32"/>
          <w:lang w:eastAsia="zh-CN"/>
        </w:rPr>
        <w:t>“</w:t>
      </w:r>
      <w:r>
        <w:rPr>
          <w:rFonts w:hint="default" w:eastAsia="仿宋_GB2312"/>
          <w:color w:val="000000"/>
          <w:kern w:val="0"/>
          <w:sz w:val="32"/>
        </w:rPr>
        <w:t>佛山扶持通</w:t>
      </w:r>
      <w:r>
        <w:rPr>
          <w:rFonts w:hint="eastAsia" w:eastAsia="仿宋_GB2312"/>
          <w:color w:val="000000"/>
          <w:kern w:val="0"/>
          <w:sz w:val="32"/>
          <w:lang w:eastAsia="zh-CN"/>
        </w:rPr>
        <w:t>”</w:t>
      </w:r>
      <w:r>
        <w:rPr>
          <w:rFonts w:hint="default" w:eastAsia="仿宋_GB2312"/>
          <w:color w:val="000000"/>
          <w:kern w:val="0"/>
          <w:sz w:val="32"/>
        </w:rPr>
        <w:t>拨付流程直接拨付或按照有关要求报请市人民政府批准同意后进行拨付，由市财政部门</w:t>
      </w:r>
      <w:r>
        <w:rPr>
          <w:rFonts w:hint="default" w:eastAsia="仿宋_GB2312"/>
          <w:color w:val="000000"/>
          <w:sz w:val="32"/>
          <w:shd w:val="clear" w:color="auto" w:fill="FFFFFF"/>
        </w:rPr>
        <w:t>向专项资金使用单位拨付资金，或向各区财政部门下达资金后进行拨付。</w:t>
      </w:r>
    </w:p>
    <w:p>
      <w:pPr>
        <w:pStyle w:val="11"/>
        <w:pageBreakBefore w:val="0"/>
        <w:kinsoku/>
        <w:wordWrap/>
        <w:overflowPunct/>
        <w:topLinePunct w:val="0"/>
        <w:autoSpaceDE/>
        <w:autoSpaceDN/>
        <w:bidi w:val="0"/>
        <w:adjustRightInd w:val="0"/>
        <w:snapToGrid w:val="0"/>
        <w:spacing w:line="560" w:lineRule="exact"/>
        <w:ind w:firstLine="640" w:firstLineChars="200"/>
        <w:textAlignment w:val="auto"/>
        <w:rPr>
          <w:rFonts w:hint="default" w:eastAsia="仿宋_GB2312"/>
          <w:color w:val="000000"/>
          <w:sz w:val="32"/>
          <w:shd w:val="clear" w:color="auto" w:fill="FFFFFF"/>
        </w:rPr>
      </w:pPr>
    </w:p>
    <w:p>
      <w:pPr>
        <w:pageBreakBefore w:val="0"/>
        <w:numPr>
          <w:ilvl w:val="0"/>
          <w:numId w:val="1"/>
        </w:numPr>
        <w:kinsoku/>
        <w:wordWrap/>
        <w:overflowPunct/>
        <w:topLinePunct w:val="0"/>
        <w:autoSpaceDE/>
        <w:autoSpaceDN/>
        <w:bidi w:val="0"/>
        <w:spacing w:line="560" w:lineRule="exact"/>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绩效评价及监督检查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5" w:firstLineChars="0"/>
        <w:textAlignment w:val="auto"/>
        <w:outlineLvl w:val="9"/>
        <w:rPr>
          <w:rFonts w:ascii="Times New Roman" w:hAnsi="Times New Roman" w:eastAsia="仿宋_GB2312" w:cs="Times New Roman"/>
          <w:color w:val="000000"/>
          <w:sz w:val="32"/>
        </w:rPr>
      </w:pPr>
      <w:r>
        <w:rPr>
          <w:rFonts w:ascii="Times New Roman" w:hAnsi="Times New Roman" w:eastAsia="黑体" w:cs="Times New Roman"/>
          <w:kern w:val="0"/>
          <w:sz w:val="32"/>
        </w:rPr>
        <w:t>第十</w:t>
      </w:r>
      <w:r>
        <w:rPr>
          <w:rFonts w:hint="eastAsia" w:ascii="Times New Roman" w:hAnsi="Times New Roman" w:eastAsia="黑体" w:cs="Times New Roman"/>
          <w:kern w:val="0"/>
          <w:sz w:val="32"/>
          <w:lang w:val="en-US" w:eastAsia="zh-CN"/>
        </w:rPr>
        <w:t>二</w:t>
      </w:r>
      <w:r>
        <w:rPr>
          <w:rFonts w:ascii="Times New Roman" w:hAnsi="Times New Roman" w:eastAsia="黑体" w:cs="Times New Roman"/>
          <w:kern w:val="0"/>
          <w:sz w:val="32"/>
        </w:rPr>
        <w:t xml:space="preserve">条 </w:t>
      </w:r>
      <w:r>
        <w:rPr>
          <w:rFonts w:hint="eastAsia" w:ascii="仿宋_GB2312" w:hAnsi="仿宋_GB2312" w:eastAsia="仿宋_GB2312" w:cs="仿宋_GB2312"/>
          <w:snapToGrid/>
          <w:sz w:val="32"/>
          <w:szCs w:val="32"/>
          <w:highlight w:val="none"/>
          <w:lang w:eastAsia="zh-CN"/>
        </w:rPr>
        <w:t>市</w:t>
      </w:r>
      <w:r>
        <w:rPr>
          <w:rFonts w:hint="eastAsia" w:ascii="仿宋_GB2312" w:hAnsi="仿宋_GB2312" w:eastAsia="仿宋_GB2312" w:cs="仿宋_GB2312"/>
          <w:snapToGrid/>
          <w:sz w:val="32"/>
          <w:szCs w:val="32"/>
          <w:highlight w:val="none"/>
          <w:lang w:val="en-US" w:eastAsia="zh-CN"/>
        </w:rPr>
        <w:t>金融工作局</w:t>
      </w:r>
      <w:r>
        <w:rPr>
          <w:rFonts w:hint="eastAsia" w:ascii="仿宋_GB2312" w:hAnsi="仿宋_GB2312" w:eastAsia="仿宋_GB2312" w:cs="仿宋_GB2312"/>
          <w:snapToGrid/>
          <w:sz w:val="32"/>
          <w:szCs w:val="32"/>
          <w:highlight w:val="none"/>
          <w:lang w:eastAsia="zh-CN"/>
        </w:rPr>
        <w:t>负责会各区</w:t>
      </w:r>
      <w:r>
        <w:rPr>
          <w:rFonts w:hint="eastAsia" w:ascii="仿宋_GB2312" w:hAnsi="仿宋_GB2312" w:eastAsia="仿宋_GB2312" w:cs="仿宋_GB2312"/>
          <w:snapToGrid/>
          <w:sz w:val="32"/>
          <w:szCs w:val="32"/>
          <w:highlight w:val="none"/>
          <w:lang w:val="en-US" w:eastAsia="zh-CN"/>
        </w:rPr>
        <w:t>金融</w:t>
      </w:r>
      <w:r>
        <w:rPr>
          <w:rFonts w:hint="eastAsia" w:ascii="仿宋_GB2312" w:hAnsi="仿宋_GB2312" w:eastAsia="仿宋_GB2312" w:cs="仿宋_GB2312"/>
          <w:snapToGrid/>
          <w:sz w:val="32"/>
          <w:szCs w:val="32"/>
          <w:highlight w:val="none"/>
          <w:lang w:eastAsia="zh-CN"/>
        </w:rPr>
        <w:t>部门对专项资金的使用情况进行监督检查。</w:t>
      </w:r>
      <w:r>
        <w:rPr>
          <w:rFonts w:hint="eastAsia" w:ascii="仿宋_GB2312" w:hAnsi="仿宋_GB2312" w:eastAsia="仿宋_GB2312" w:cs="仿宋_GB2312"/>
          <w:snapToGrid/>
          <w:sz w:val="32"/>
          <w:szCs w:val="32"/>
          <w:lang w:eastAsia="zh-CN"/>
        </w:rPr>
        <w:t>市财政部门根据工作需要组织开展专项资金的监督检查和绩效管理，相关部门在监督过程中，可视需要委托第三方中介机构组织实施。审计部门依法开展审计监督。</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5" w:firstLineChars="0"/>
        <w:textAlignment w:val="auto"/>
        <w:outlineLvl w:val="9"/>
        <w:rPr>
          <w:rFonts w:hint="eastAsia" w:ascii="仿宋_GB2312" w:hAnsi="仿宋_GB2312" w:eastAsia="仿宋_GB2312"/>
          <w:color w:val="auto"/>
          <w:sz w:val="32"/>
          <w:lang w:val="en-US" w:eastAsia="zh-CN"/>
        </w:rPr>
      </w:pPr>
      <w:r>
        <w:rPr>
          <w:rFonts w:hint="default" w:eastAsia="黑体"/>
          <w:kern w:val="0"/>
          <w:sz w:val="32"/>
        </w:rPr>
        <w:t>第十</w:t>
      </w:r>
      <w:r>
        <w:rPr>
          <w:rFonts w:hint="eastAsia" w:eastAsia="黑体"/>
          <w:kern w:val="0"/>
          <w:sz w:val="32"/>
          <w:lang w:val="en-US" w:eastAsia="zh-CN"/>
        </w:rPr>
        <w:t>三</w:t>
      </w:r>
      <w:r>
        <w:rPr>
          <w:rFonts w:hint="default" w:eastAsia="黑体"/>
          <w:kern w:val="0"/>
          <w:sz w:val="32"/>
        </w:rPr>
        <w:t xml:space="preserve">条 </w:t>
      </w:r>
      <w:r>
        <w:rPr>
          <w:rFonts w:hint="default" w:eastAsia="仿宋_GB2312"/>
          <w:sz w:val="32"/>
          <w:szCs w:val="32"/>
        </w:rPr>
        <w:t>预算年度终了或</w:t>
      </w:r>
      <w:r>
        <w:rPr>
          <w:rFonts w:hint="eastAsia" w:eastAsia="仿宋_GB2312"/>
          <w:sz w:val="32"/>
          <w:szCs w:val="32"/>
          <w:lang w:val="en-US" w:eastAsia="zh-CN"/>
        </w:rPr>
        <w:t>专项资金</w:t>
      </w:r>
      <w:r>
        <w:rPr>
          <w:rFonts w:hint="default" w:eastAsia="仿宋_GB2312"/>
          <w:sz w:val="32"/>
          <w:szCs w:val="32"/>
        </w:rPr>
        <w:t>预算执行完毕，</w:t>
      </w:r>
      <w:r>
        <w:rPr>
          <w:rFonts w:hint="eastAsia" w:ascii="仿宋_GB2312" w:hAnsi="仿宋_GB2312" w:eastAsia="仿宋_GB2312"/>
          <w:color w:val="auto"/>
          <w:sz w:val="32"/>
          <w:lang w:val="en-US" w:eastAsia="zh-CN"/>
        </w:rPr>
        <w:t>由各区金融部门开展专项资金使用情况自评，市金融工作局根据市财政部门开展的年度市级财政支出项目绩效评价的要求，</w:t>
      </w:r>
      <w:r>
        <w:rPr>
          <w:rFonts w:hint="default" w:eastAsia="仿宋_GB2312"/>
          <w:sz w:val="32"/>
          <w:szCs w:val="32"/>
        </w:rPr>
        <w:t>开展</w:t>
      </w:r>
      <w:r>
        <w:rPr>
          <w:rFonts w:hint="eastAsia" w:eastAsia="仿宋_GB2312"/>
          <w:sz w:val="32"/>
          <w:szCs w:val="32"/>
          <w:lang w:val="en-US" w:eastAsia="zh-CN"/>
        </w:rPr>
        <w:t>年度</w:t>
      </w:r>
      <w:r>
        <w:rPr>
          <w:rFonts w:hint="default" w:eastAsia="仿宋_GB2312"/>
          <w:sz w:val="32"/>
          <w:szCs w:val="32"/>
        </w:rPr>
        <w:t>绩效</w:t>
      </w:r>
      <w:r>
        <w:rPr>
          <w:rFonts w:hint="eastAsia" w:eastAsia="仿宋_GB2312"/>
          <w:sz w:val="32"/>
          <w:szCs w:val="32"/>
          <w:lang w:val="en-US" w:eastAsia="zh-CN"/>
        </w:rPr>
        <w:t>自</w:t>
      </w:r>
      <w:r>
        <w:rPr>
          <w:rFonts w:hint="default" w:eastAsia="仿宋_GB2312"/>
          <w:sz w:val="32"/>
          <w:szCs w:val="32"/>
        </w:rPr>
        <w:t>评。</w:t>
      </w:r>
      <w:r>
        <w:rPr>
          <w:rFonts w:hint="eastAsia" w:ascii="仿宋_GB2312" w:hAnsi="仿宋_GB2312" w:eastAsia="仿宋_GB2312"/>
          <w:color w:val="auto"/>
          <w:sz w:val="32"/>
          <w:lang w:val="en-US" w:eastAsia="zh-CN"/>
        </w:rPr>
        <w:t>市财政部门可结合市金融工作局的绩效自评情况以及当年的工作重点，委托第三方中介机构对部分专项资金进行重点绩效评价或自评抽查。</w:t>
      </w:r>
    </w:p>
    <w:p>
      <w:pPr>
        <w:pageBreakBefore w:val="0"/>
        <w:widowControl/>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color w:val="000000"/>
          <w:sz w:val="32"/>
        </w:rPr>
      </w:pPr>
      <w:r>
        <w:rPr>
          <w:rFonts w:ascii="Times New Roman" w:hAnsi="Times New Roman" w:eastAsia="黑体" w:cs="Times New Roman"/>
          <w:kern w:val="0"/>
          <w:sz w:val="32"/>
        </w:rPr>
        <w:t>第十</w:t>
      </w:r>
      <w:r>
        <w:rPr>
          <w:rFonts w:hint="eastAsia" w:ascii="Times New Roman" w:hAnsi="Times New Roman" w:eastAsia="黑体" w:cs="Times New Roman"/>
          <w:kern w:val="0"/>
          <w:sz w:val="32"/>
          <w:lang w:val="en-US" w:eastAsia="zh-CN"/>
        </w:rPr>
        <w:t>四</w:t>
      </w:r>
      <w:r>
        <w:rPr>
          <w:rFonts w:ascii="Times New Roman" w:hAnsi="Times New Roman" w:eastAsia="黑体" w:cs="Times New Roman"/>
          <w:kern w:val="0"/>
          <w:sz w:val="32"/>
        </w:rPr>
        <w:t xml:space="preserve">条 </w:t>
      </w:r>
      <w:r>
        <w:rPr>
          <w:rFonts w:ascii="Times New Roman" w:hAnsi="Times New Roman" w:eastAsia="仿宋_GB2312" w:cs="Times New Roman"/>
          <w:color w:val="000000"/>
          <w:sz w:val="32"/>
        </w:rPr>
        <w:t>获得拨付专项资金的专项资金使用</w:t>
      </w:r>
      <w:r>
        <w:rPr>
          <w:rFonts w:ascii="Times New Roman" w:hAnsi="Times New Roman" w:eastAsia="仿宋_GB2312" w:cs="Times New Roman"/>
          <w:color w:val="000000"/>
          <w:kern w:val="0"/>
          <w:sz w:val="32"/>
        </w:rPr>
        <w:t>单位</w:t>
      </w:r>
      <w:r>
        <w:rPr>
          <w:rFonts w:ascii="Times New Roman" w:hAnsi="Times New Roman" w:eastAsia="仿宋_GB2312" w:cs="Times New Roman"/>
          <w:color w:val="000000"/>
          <w:sz w:val="32"/>
        </w:rPr>
        <w:t>应严格按照专项资金的使用范围，切实加强财政资金的使用和管理，实行专款专用，并自觉接受市金融、财政、审计、监察等部门的监督检查。上述职能部门根据履职需要向专项资金使用单位提出专项资金的相关资料信息需求时，专项资金使用单位需及时按要求做好配合，不得拒绝、推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5" w:firstLineChars="0"/>
        <w:textAlignment w:val="auto"/>
        <w:outlineLvl w:val="9"/>
        <w:rPr>
          <w:rFonts w:hint="eastAsia" w:ascii="仿宋_GB2312" w:eastAsia="仿宋_GB2312"/>
          <w:color w:val="auto"/>
          <w:sz w:val="32"/>
        </w:rPr>
      </w:pPr>
      <w:r>
        <w:rPr>
          <w:rFonts w:hint="eastAsia" w:ascii="黑体" w:hAnsi="黑体" w:eastAsia="黑体"/>
          <w:color w:val="auto"/>
          <w:sz w:val="32"/>
        </w:rPr>
        <w:t>第</w:t>
      </w:r>
      <w:r>
        <w:rPr>
          <w:rFonts w:hint="eastAsia" w:ascii="黑体" w:hAnsi="黑体" w:eastAsia="黑体"/>
          <w:color w:val="auto"/>
          <w:sz w:val="32"/>
          <w:lang w:eastAsia="zh-CN"/>
        </w:rPr>
        <w:t>十</w:t>
      </w:r>
      <w:r>
        <w:rPr>
          <w:rFonts w:hint="eastAsia" w:ascii="黑体" w:hAnsi="黑体" w:eastAsia="黑体"/>
          <w:color w:val="auto"/>
          <w:sz w:val="32"/>
          <w:lang w:val="en-US" w:eastAsia="zh-CN"/>
        </w:rPr>
        <w:t>五</w:t>
      </w:r>
      <w:r>
        <w:rPr>
          <w:rFonts w:hint="eastAsia" w:ascii="黑体" w:hAnsi="黑体" w:eastAsia="黑体"/>
          <w:color w:val="auto"/>
          <w:sz w:val="32"/>
        </w:rPr>
        <w:t>条</w:t>
      </w:r>
      <w:r>
        <w:rPr>
          <w:rFonts w:hint="eastAsia" w:ascii="仿宋_GB2312" w:hAnsi="仿宋_GB2312" w:eastAsia="仿宋_GB2312"/>
          <w:color w:val="auto"/>
          <w:sz w:val="32"/>
          <w:lang w:val="en-US" w:eastAsia="zh-CN"/>
        </w:rPr>
        <w:t xml:space="preserve">  </w:t>
      </w:r>
      <w:r>
        <w:rPr>
          <w:rFonts w:hint="eastAsia" w:ascii="仿宋_GB2312" w:hAnsi="仿宋_GB2312" w:eastAsia="仿宋_GB2312"/>
          <w:color w:val="auto"/>
          <w:sz w:val="32"/>
        </w:rPr>
        <w:t>各区</w:t>
      </w:r>
      <w:r>
        <w:rPr>
          <w:rFonts w:hint="eastAsia" w:ascii="仿宋_GB2312" w:hAnsi="仿宋_GB2312" w:eastAsia="仿宋_GB2312"/>
          <w:color w:val="auto"/>
          <w:sz w:val="32"/>
          <w:lang w:val="en-US" w:eastAsia="zh-CN"/>
        </w:rPr>
        <w:t>金融</w:t>
      </w:r>
      <w:r>
        <w:rPr>
          <w:rFonts w:hint="eastAsia" w:ascii="仿宋_GB2312" w:hAnsi="仿宋_GB2312" w:eastAsia="仿宋_GB2312"/>
          <w:color w:val="auto"/>
          <w:sz w:val="32"/>
        </w:rPr>
        <w:t>部门</w:t>
      </w:r>
      <w:r>
        <w:rPr>
          <w:rFonts w:hint="eastAsia" w:ascii="仿宋_GB2312" w:eastAsia="仿宋_GB2312"/>
          <w:color w:val="auto"/>
          <w:sz w:val="32"/>
          <w:lang w:eastAsia="zh-CN"/>
        </w:rPr>
        <w:t>应及时按规定将资金拨付至获得专项资金支持的单位，</w:t>
      </w:r>
      <w:r>
        <w:rPr>
          <w:rFonts w:hint="eastAsia" w:ascii="仿宋_GB2312" w:eastAsia="仿宋_GB2312"/>
          <w:color w:val="auto"/>
          <w:sz w:val="32"/>
        </w:rPr>
        <w:t>加大对</w:t>
      </w:r>
      <w:r>
        <w:rPr>
          <w:rFonts w:hint="eastAsia" w:ascii="仿宋_GB2312" w:eastAsia="仿宋_GB2312"/>
          <w:color w:val="auto"/>
          <w:sz w:val="32"/>
          <w:lang w:eastAsia="zh-CN"/>
        </w:rPr>
        <w:t>专项资金项目的</w:t>
      </w:r>
      <w:r>
        <w:rPr>
          <w:rFonts w:hint="eastAsia" w:ascii="仿宋_GB2312" w:eastAsia="仿宋_GB2312"/>
          <w:color w:val="auto"/>
          <w:sz w:val="32"/>
        </w:rPr>
        <w:t>跟踪服务力度，及时</w:t>
      </w:r>
      <w:r>
        <w:rPr>
          <w:rFonts w:hint="eastAsia" w:ascii="仿宋_GB2312" w:eastAsia="仿宋_GB2312"/>
          <w:color w:val="auto"/>
          <w:sz w:val="32"/>
          <w:lang w:eastAsia="zh-CN"/>
        </w:rPr>
        <w:t>地</w:t>
      </w:r>
      <w:r>
        <w:rPr>
          <w:rFonts w:hint="eastAsia" w:ascii="仿宋_GB2312" w:eastAsia="仿宋_GB2312"/>
          <w:color w:val="auto"/>
          <w:sz w:val="32"/>
        </w:rPr>
        <w:t>协调解决</w:t>
      </w:r>
      <w:r>
        <w:rPr>
          <w:rFonts w:hint="eastAsia" w:ascii="仿宋_GB2312" w:eastAsia="仿宋_GB2312"/>
          <w:color w:val="auto"/>
          <w:sz w:val="32"/>
          <w:lang w:eastAsia="zh-CN"/>
        </w:rPr>
        <w:t>专项资金</w:t>
      </w:r>
      <w:r>
        <w:rPr>
          <w:rFonts w:hint="eastAsia" w:ascii="仿宋_GB2312" w:eastAsia="仿宋_GB2312"/>
          <w:color w:val="auto"/>
          <w:sz w:val="32"/>
        </w:rPr>
        <w:t>项目</w:t>
      </w:r>
      <w:r>
        <w:rPr>
          <w:rFonts w:hint="eastAsia" w:ascii="仿宋_GB2312" w:eastAsia="仿宋_GB2312"/>
          <w:color w:val="auto"/>
          <w:sz w:val="32"/>
          <w:lang w:eastAsia="zh-CN"/>
        </w:rPr>
        <w:t>申报和使用</w:t>
      </w:r>
      <w:r>
        <w:rPr>
          <w:rFonts w:hint="eastAsia" w:ascii="仿宋_GB2312" w:eastAsia="仿宋_GB2312"/>
          <w:color w:val="auto"/>
          <w:sz w:val="32"/>
        </w:rPr>
        <w:t>过程中的重大问题，</w:t>
      </w:r>
      <w:r>
        <w:rPr>
          <w:rFonts w:hint="eastAsia" w:ascii="仿宋_GB2312" w:eastAsia="仿宋_GB2312"/>
          <w:color w:val="auto"/>
          <w:sz w:val="32"/>
          <w:lang w:eastAsia="zh-CN"/>
        </w:rPr>
        <w:t>并及时地向市</w:t>
      </w:r>
      <w:r>
        <w:rPr>
          <w:rFonts w:hint="eastAsia" w:ascii="仿宋_GB2312" w:eastAsia="仿宋_GB2312"/>
          <w:color w:val="auto"/>
          <w:sz w:val="32"/>
          <w:lang w:val="en-US" w:eastAsia="zh-CN"/>
        </w:rPr>
        <w:t>金融</w:t>
      </w:r>
      <w:r>
        <w:rPr>
          <w:rFonts w:hint="eastAsia" w:ascii="仿宋_GB2312" w:eastAsia="仿宋_GB2312"/>
          <w:color w:val="auto"/>
          <w:sz w:val="32"/>
          <w:lang w:eastAsia="zh-CN"/>
        </w:rPr>
        <w:t>及财政部门反映有关情况</w:t>
      </w:r>
      <w:r>
        <w:rPr>
          <w:rFonts w:hint="eastAsia" w:ascii="仿宋_GB2312" w:eastAsia="仿宋_GB2312"/>
          <w:color w:val="auto"/>
          <w:sz w:val="32"/>
        </w:rPr>
        <w:t>。</w:t>
      </w:r>
    </w:p>
    <w:p>
      <w:pPr>
        <w:rPr>
          <w:sz w:val="32"/>
          <w:szCs w:val="32"/>
        </w:rPr>
      </w:pPr>
    </w:p>
    <w:p>
      <w:pPr>
        <w:pageBreakBefore w:val="0"/>
        <w:numPr>
          <w:ilvl w:val="0"/>
          <w:numId w:val="1"/>
        </w:numPr>
        <w:kinsoku/>
        <w:wordWrap/>
        <w:overflowPunct/>
        <w:topLinePunct w:val="0"/>
        <w:autoSpaceDE/>
        <w:autoSpaceDN/>
        <w:bidi w:val="0"/>
        <w:spacing w:line="560" w:lineRule="exact"/>
        <w:jc w:val="center"/>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法律责任</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5" w:firstLineChars="0"/>
        <w:textAlignment w:val="auto"/>
        <w:outlineLvl w:val="9"/>
        <w:rPr>
          <w:rFonts w:hint="eastAsia" w:ascii="仿宋_GB2312" w:eastAsia="仿宋_GB2312"/>
          <w:color w:val="auto"/>
          <w:kern w:val="0"/>
          <w:sz w:val="32"/>
          <w:szCs w:val="32"/>
        </w:rPr>
      </w:pPr>
      <w:r>
        <w:rPr>
          <w:rFonts w:ascii="Times New Roman" w:hAnsi="Times New Roman" w:eastAsia="黑体" w:cs="Times New Roman"/>
          <w:color w:val="000000"/>
          <w:sz w:val="32"/>
        </w:rPr>
        <w:t>第</w:t>
      </w:r>
      <w:r>
        <w:rPr>
          <w:rFonts w:hint="eastAsia" w:ascii="黑体" w:hAnsi="黑体" w:eastAsia="黑体"/>
          <w:color w:val="auto"/>
          <w:sz w:val="32"/>
          <w:lang w:eastAsia="zh-CN"/>
        </w:rPr>
        <w:t>十</w:t>
      </w:r>
      <w:r>
        <w:rPr>
          <w:rFonts w:hint="eastAsia" w:ascii="黑体" w:hAnsi="黑体" w:eastAsia="黑体"/>
          <w:color w:val="auto"/>
          <w:sz w:val="32"/>
          <w:lang w:val="en-US" w:eastAsia="zh-CN"/>
        </w:rPr>
        <w:t>六</w:t>
      </w:r>
      <w:r>
        <w:rPr>
          <w:rFonts w:hint="eastAsia" w:ascii="黑体" w:hAnsi="黑体" w:eastAsia="黑体"/>
          <w:color w:val="auto"/>
          <w:sz w:val="32"/>
        </w:rPr>
        <w:t>条</w:t>
      </w:r>
      <w:r>
        <w:rPr>
          <w:rFonts w:hint="eastAsia" w:ascii="仿宋_GB2312" w:hAnsi="仿宋_GB2312" w:eastAsia="仿宋_GB2312"/>
          <w:color w:val="auto"/>
          <w:sz w:val="32"/>
          <w:lang w:val="en-US" w:eastAsia="zh-CN"/>
        </w:rPr>
        <w:t xml:space="preserve">  </w:t>
      </w:r>
      <w:r>
        <w:rPr>
          <w:rFonts w:hint="eastAsia" w:ascii="仿宋_GB2312" w:eastAsia="仿宋_GB2312"/>
          <w:color w:val="auto"/>
          <w:kern w:val="0"/>
          <w:sz w:val="32"/>
          <w:szCs w:val="32"/>
          <w:lang w:eastAsia="zh-CN"/>
        </w:rPr>
        <w:t>专项资金使用</w:t>
      </w:r>
      <w:r>
        <w:rPr>
          <w:rFonts w:hint="eastAsia" w:ascii="仿宋_GB2312" w:eastAsia="仿宋_GB2312"/>
          <w:color w:val="auto"/>
          <w:kern w:val="0"/>
          <w:sz w:val="32"/>
          <w:szCs w:val="32"/>
        </w:rPr>
        <w:t>单位存在下列行为之一的，停止</w:t>
      </w:r>
      <w:r>
        <w:rPr>
          <w:rFonts w:hint="eastAsia" w:ascii="仿宋_GB2312" w:eastAsia="仿宋_GB2312"/>
          <w:color w:val="auto"/>
          <w:kern w:val="0"/>
          <w:sz w:val="32"/>
          <w:szCs w:val="32"/>
          <w:lang w:eastAsia="zh-CN"/>
        </w:rPr>
        <w:t>向其</w:t>
      </w:r>
      <w:r>
        <w:rPr>
          <w:rFonts w:hint="eastAsia" w:ascii="仿宋_GB2312" w:eastAsia="仿宋_GB2312"/>
          <w:color w:val="auto"/>
          <w:kern w:val="0"/>
          <w:sz w:val="32"/>
          <w:szCs w:val="32"/>
        </w:rPr>
        <w:t>拨付</w:t>
      </w:r>
      <w:r>
        <w:rPr>
          <w:rFonts w:hint="eastAsia" w:ascii="仿宋_GB2312" w:eastAsia="仿宋_GB2312"/>
          <w:color w:val="auto"/>
          <w:kern w:val="0"/>
          <w:sz w:val="32"/>
          <w:szCs w:val="32"/>
          <w:lang w:eastAsia="zh-CN"/>
        </w:rPr>
        <w:t>专项</w:t>
      </w:r>
      <w:r>
        <w:rPr>
          <w:rFonts w:hint="eastAsia" w:ascii="仿宋_GB2312" w:eastAsia="仿宋_GB2312"/>
          <w:color w:val="auto"/>
          <w:kern w:val="0"/>
          <w:sz w:val="32"/>
          <w:szCs w:val="32"/>
        </w:rPr>
        <w:t>资金，追缴部分或全部</w:t>
      </w:r>
      <w:r>
        <w:rPr>
          <w:rFonts w:hint="eastAsia" w:ascii="仿宋_GB2312" w:eastAsia="仿宋_GB2312"/>
          <w:color w:val="auto"/>
          <w:kern w:val="0"/>
          <w:sz w:val="32"/>
          <w:szCs w:val="32"/>
          <w:lang w:eastAsia="zh-CN"/>
        </w:rPr>
        <w:t>的</w:t>
      </w:r>
      <w:r>
        <w:rPr>
          <w:rFonts w:hint="eastAsia" w:ascii="仿宋_GB2312" w:eastAsia="仿宋_GB2312"/>
          <w:color w:val="auto"/>
          <w:kern w:val="0"/>
          <w:sz w:val="32"/>
          <w:szCs w:val="32"/>
        </w:rPr>
        <w:t>资金，并</w:t>
      </w:r>
      <w:r>
        <w:rPr>
          <w:rFonts w:hint="eastAsia" w:ascii="仿宋_GB2312" w:eastAsia="仿宋_GB2312"/>
          <w:color w:val="auto"/>
          <w:kern w:val="0"/>
          <w:sz w:val="32"/>
          <w:szCs w:val="32"/>
          <w:lang w:eastAsia="zh-CN"/>
        </w:rPr>
        <w:t>依照相关的法律法规追究责任及予以处罚</w:t>
      </w:r>
      <w:r>
        <w:rPr>
          <w:rFonts w:hint="eastAsia" w:ascii="仿宋_GB2312" w:eastAsia="仿宋_GB2312"/>
          <w:color w:val="auto"/>
          <w:kern w:val="0"/>
          <w:sz w:val="32"/>
          <w:szCs w:val="32"/>
        </w:rPr>
        <w:t>，</w:t>
      </w:r>
      <w:r>
        <w:rPr>
          <w:rFonts w:hint="eastAsia" w:ascii="仿宋_GB2312" w:eastAsia="仿宋_GB2312"/>
          <w:color w:val="auto"/>
          <w:kern w:val="0"/>
          <w:sz w:val="32"/>
          <w:szCs w:val="32"/>
          <w:lang w:eastAsia="zh-CN"/>
        </w:rPr>
        <w:t>涉嫌犯罪的，依法</w:t>
      </w:r>
      <w:r>
        <w:rPr>
          <w:rFonts w:hint="eastAsia" w:ascii="仿宋_GB2312" w:eastAsia="仿宋_GB2312"/>
          <w:color w:val="auto"/>
          <w:kern w:val="0"/>
          <w:sz w:val="32"/>
          <w:szCs w:val="32"/>
        </w:rPr>
        <w:t>移送司法机关</w:t>
      </w:r>
      <w:r>
        <w:rPr>
          <w:rFonts w:hint="eastAsia" w:ascii="仿宋_GB2312" w:eastAsia="仿宋_GB2312"/>
          <w:color w:val="auto"/>
          <w:kern w:val="0"/>
          <w:sz w:val="32"/>
          <w:szCs w:val="32"/>
          <w:lang w:eastAsia="zh-CN"/>
        </w:rPr>
        <w:t>处理。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textAlignment w:val="auto"/>
        <w:outlineLvl w:val="9"/>
        <w:rPr>
          <w:rFonts w:hint="eastAsia" w:ascii="仿宋_GB2312" w:eastAsia="仿宋_GB2312"/>
          <w:color w:val="auto"/>
          <w:kern w:val="0"/>
          <w:sz w:val="32"/>
          <w:szCs w:val="32"/>
          <w:lang w:eastAsia="zh-CN"/>
        </w:rPr>
      </w:pPr>
      <w:r>
        <w:rPr>
          <w:rFonts w:hint="eastAsia" w:ascii="仿宋_GB2312" w:eastAsia="仿宋_GB2312"/>
          <w:color w:val="auto"/>
          <w:kern w:val="0"/>
          <w:sz w:val="32"/>
          <w:szCs w:val="32"/>
        </w:rPr>
        <w:t>（一）在</w:t>
      </w:r>
      <w:r>
        <w:rPr>
          <w:rFonts w:hint="eastAsia" w:ascii="仿宋_GB2312" w:eastAsia="仿宋_GB2312"/>
          <w:color w:val="auto"/>
          <w:kern w:val="0"/>
          <w:sz w:val="32"/>
          <w:szCs w:val="32"/>
          <w:lang w:eastAsia="zh-CN"/>
        </w:rPr>
        <w:t>申报专项资金的过程中</w:t>
      </w:r>
      <w:r>
        <w:rPr>
          <w:rFonts w:hint="eastAsia" w:ascii="仿宋_GB2312" w:eastAsia="仿宋_GB2312"/>
          <w:color w:val="auto"/>
          <w:kern w:val="0"/>
          <w:sz w:val="32"/>
          <w:szCs w:val="32"/>
        </w:rPr>
        <w:t>，</w:t>
      </w:r>
      <w:r>
        <w:rPr>
          <w:rFonts w:hint="eastAsia" w:ascii="仿宋_GB2312" w:eastAsia="仿宋_GB2312"/>
          <w:color w:val="auto"/>
          <w:kern w:val="0"/>
          <w:sz w:val="32"/>
          <w:szCs w:val="32"/>
          <w:lang w:eastAsia="zh-CN"/>
        </w:rPr>
        <w:t>被发现存在弄虚作假的行为以骗取专项资金的</w:t>
      </w:r>
      <w:r>
        <w:rPr>
          <w:rFonts w:hint="eastAsia" w:ascii="仿宋_GB2312" w:eastAsia="仿宋_GB2312"/>
          <w:color w:val="auto"/>
          <w:kern w:val="0"/>
          <w:sz w:val="32"/>
          <w:szCs w:val="32"/>
        </w:rPr>
        <w:t>，追回</w:t>
      </w:r>
      <w:r>
        <w:rPr>
          <w:rFonts w:hint="eastAsia" w:ascii="仿宋_GB2312" w:eastAsia="仿宋_GB2312"/>
          <w:color w:val="auto"/>
          <w:kern w:val="0"/>
          <w:sz w:val="32"/>
          <w:szCs w:val="32"/>
          <w:lang w:eastAsia="zh-CN"/>
        </w:rPr>
        <w:t>专项</w:t>
      </w:r>
      <w:r>
        <w:rPr>
          <w:rFonts w:hint="eastAsia" w:ascii="仿宋_GB2312" w:eastAsia="仿宋_GB2312"/>
          <w:color w:val="auto"/>
          <w:kern w:val="0"/>
          <w:sz w:val="32"/>
          <w:szCs w:val="32"/>
        </w:rPr>
        <w:t>资金，</w:t>
      </w:r>
      <w:r>
        <w:rPr>
          <w:rFonts w:hint="eastAsia" w:ascii="仿宋_GB2312" w:eastAsia="仿宋_GB2312"/>
          <w:color w:val="auto"/>
          <w:kern w:val="0"/>
          <w:sz w:val="32"/>
          <w:szCs w:val="32"/>
          <w:lang w:eastAsia="zh-CN"/>
        </w:rPr>
        <w:t>从被发现有违法违规行为之日起，三年内停止其申报所有专项资金的资格。</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（二）同一单位的同一项目每年只能向市政府</w:t>
      </w:r>
      <w:r>
        <w:rPr>
          <w:rFonts w:hint="eastAsia" w:ascii="仿宋_GB2312" w:eastAsia="仿宋_GB2312"/>
          <w:color w:val="auto"/>
          <w:kern w:val="0"/>
          <w:sz w:val="32"/>
          <w:szCs w:val="32"/>
          <w:lang w:eastAsia="zh-CN"/>
        </w:rPr>
        <w:t>的职能</w:t>
      </w:r>
      <w:r>
        <w:rPr>
          <w:rFonts w:hint="eastAsia" w:ascii="仿宋_GB2312" w:eastAsia="仿宋_GB2312"/>
          <w:color w:val="auto"/>
          <w:kern w:val="0"/>
          <w:sz w:val="32"/>
          <w:szCs w:val="32"/>
        </w:rPr>
        <w:t>部门申报一次</w:t>
      </w:r>
      <w:r>
        <w:rPr>
          <w:rFonts w:hint="eastAsia" w:ascii="仿宋_GB2312" w:eastAsia="仿宋_GB2312"/>
          <w:color w:val="auto"/>
          <w:kern w:val="0"/>
          <w:sz w:val="32"/>
          <w:szCs w:val="32"/>
          <w:lang w:eastAsia="zh-CN"/>
        </w:rPr>
        <w:t>专项资金</w:t>
      </w:r>
      <w:r>
        <w:rPr>
          <w:rFonts w:hint="eastAsia" w:ascii="仿宋_GB2312" w:eastAsia="仿宋_GB2312"/>
          <w:color w:val="auto"/>
          <w:kern w:val="0"/>
          <w:sz w:val="32"/>
          <w:szCs w:val="32"/>
        </w:rPr>
        <w:t>。</w:t>
      </w:r>
      <w:r>
        <w:rPr>
          <w:rFonts w:hint="eastAsia" w:ascii="仿宋_GB2312" w:eastAsia="仿宋_GB2312"/>
          <w:color w:val="auto"/>
          <w:kern w:val="0"/>
          <w:sz w:val="32"/>
          <w:szCs w:val="32"/>
          <w:lang w:eastAsia="zh-CN"/>
        </w:rPr>
        <w:t>凡</w:t>
      </w:r>
      <w:r>
        <w:rPr>
          <w:rFonts w:hint="eastAsia" w:ascii="仿宋_GB2312" w:eastAsia="仿宋_GB2312"/>
          <w:color w:val="auto"/>
          <w:kern w:val="0"/>
          <w:sz w:val="32"/>
          <w:szCs w:val="32"/>
        </w:rPr>
        <w:t>以相同</w:t>
      </w:r>
      <w:r>
        <w:rPr>
          <w:rFonts w:hint="eastAsia" w:ascii="仿宋_GB2312" w:eastAsia="仿宋_GB2312"/>
          <w:color w:val="auto"/>
          <w:kern w:val="0"/>
          <w:sz w:val="32"/>
          <w:szCs w:val="32"/>
          <w:lang w:eastAsia="zh-CN"/>
        </w:rPr>
        <w:t>的</w:t>
      </w:r>
      <w:r>
        <w:rPr>
          <w:rFonts w:hint="eastAsia" w:ascii="仿宋_GB2312" w:eastAsia="仿宋_GB2312"/>
          <w:color w:val="auto"/>
          <w:kern w:val="0"/>
          <w:sz w:val="32"/>
          <w:szCs w:val="32"/>
        </w:rPr>
        <w:t>项目多头申报、重复套取</w:t>
      </w:r>
      <w:r>
        <w:rPr>
          <w:rFonts w:hint="eastAsia" w:ascii="仿宋_GB2312" w:eastAsia="仿宋_GB2312"/>
          <w:color w:val="auto"/>
          <w:kern w:val="0"/>
          <w:sz w:val="32"/>
          <w:szCs w:val="32"/>
          <w:lang w:eastAsia="zh-CN"/>
        </w:rPr>
        <w:t>财政</w:t>
      </w:r>
      <w:r>
        <w:rPr>
          <w:rFonts w:hint="eastAsia" w:ascii="仿宋_GB2312" w:eastAsia="仿宋_GB2312"/>
          <w:color w:val="auto"/>
          <w:kern w:val="0"/>
          <w:sz w:val="32"/>
          <w:szCs w:val="32"/>
        </w:rPr>
        <w:t>资金的，一经发现，追回</w:t>
      </w:r>
      <w:r>
        <w:rPr>
          <w:rFonts w:hint="eastAsia" w:ascii="仿宋_GB2312" w:eastAsia="仿宋_GB2312"/>
          <w:color w:val="auto"/>
          <w:kern w:val="0"/>
          <w:sz w:val="32"/>
          <w:szCs w:val="32"/>
          <w:lang w:eastAsia="zh-CN"/>
        </w:rPr>
        <w:t>专项</w:t>
      </w:r>
      <w:r>
        <w:rPr>
          <w:rFonts w:hint="eastAsia" w:ascii="仿宋_GB2312" w:eastAsia="仿宋_GB2312"/>
          <w:color w:val="auto"/>
          <w:kern w:val="0"/>
          <w:sz w:val="32"/>
          <w:szCs w:val="32"/>
        </w:rPr>
        <w:t>资金</w:t>
      </w:r>
      <w:r>
        <w:rPr>
          <w:rFonts w:hint="eastAsia" w:ascii="仿宋_GB2312" w:eastAsia="仿宋_GB2312"/>
          <w:color w:val="auto"/>
          <w:kern w:val="0"/>
          <w:sz w:val="32"/>
          <w:szCs w:val="32"/>
          <w:lang w:eastAsia="zh-CN"/>
        </w:rPr>
        <w:t>，自发现之日起，三</w:t>
      </w:r>
      <w:r>
        <w:rPr>
          <w:rFonts w:hint="eastAsia" w:ascii="仿宋_GB2312" w:eastAsia="仿宋_GB2312"/>
          <w:color w:val="auto"/>
          <w:kern w:val="0"/>
          <w:sz w:val="32"/>
          <w:szCs w:val="32"/>
        </w:rPr>
        <w:t>年</w:t>
      </w:r>
      <w:r>
        <w:rPr>
          <w:rFonts w:hint="eastAsia" w:ascii="仿宋_GB2312" w:eastAsia="仿宋_GB2312"/>
          <w:color w:val="auto"/>
          <w:kern w:val="0"/>
          <w:sz w:val="32"/>
          <w:szCs w:val="32"/>
          <w:lang w:val="en-US" w:eastAsia="zh-CN"/>
        </w:rPr>
        <w:t>不得申报专项资金，纳入社会信用体系实施联合惩戒，并向社会公开其违法违规信息</w:t>
      </w:r>
      <w:r>
        <w:rPr>
          <w:rFonts w:hint="eastAsia" w:ascii="仿宋_GB2312" w:eastAsia="仿宋_GB2312"/>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（三）</w:t>
      </w:r>
      <w:r>
        <w:rPr>
          <w:rFonts w:hint="eastAsia" w:ascii="仿宋_GB2312" w:eastAsia="仿宋_GB2312"/>
          <w:color w:val="auto"/>
          <w:kern w:val="0"/>
          <w:sz w:val="32"/>
          <w:szCs w:val="32"/>
          <w:lang w:eastAsia="zh-CN"/>
        </w:rPr>
        <w:t>专项资金使用</w:t>
      </w:r>
      <w:r>
        <w:rPr>
          <w:rFonts w:hint="eastAsia" w:ascii="仿宋_GB2312" w:eastAsia="仿宋_GB2312"/>
          <w:color w:val="auto"/>
          <w:kern w:val="0"/>
          <w:sz w:val="32"/>
          <w:szCs w:val="32"/>
        </w:rPr>
        <w:t>单位违规截留、挤占、挪用</w:t>
      </w:r>
      <w:r>
        <w:rPr>
          <w:rFonts w:hint="eastAsia" w:ascii="仿宋_GB2312" w:eastAsia="仿宋_GB2312"/>
          <w:color w:val="auto"/>
          <w:kern w:val="0"/>
          <w:sz w:val="32"/>
          <w:szCs w:val="32"/>
          <w:lang w:eastAsia="zh-CN"/>
        </w:rPr>
        <w:t>以及不按规定使用专项资金</w:t>
      </w:r>
      <w:r>
        <w:rPr>
          <w:rFonts w:hint="eastAsia" w:ascii="仿宋_GB2312" w:eastAsia="仿宋_GB2312"/>
          <w:color w:val="auto"/>
          <w:kern w:val="0"/>
          <w:sz w:val="32"/>
          <w:szCs w:val="32"/>
        </w:rPr>
        <w:t>的，严格依照国家、省、市有关规定进行处理，并追究相关单位和人员的法律责任，</w:t>
      </w:r>
      <w:r>
        <w:rPr>
          <w:rFonts w:hint="eastAsia" w:ascii="仿宋_GB2312" w:eastAsia="仿宋_GB2312"/>
          <w:color w:val="auto"/>
          <w:kern w:val="0"/>
          <w:sz w:val="32"/>
          <w:szCs w:val="32"/>
          <w:lang w:eastAsia="zh-CN"/>
        </w:rPr>
        <w:t>涉嫌犯罪的，依法</w:t>
      </w:r>
      <w:r>
        <w:rPr>
          <w:rFonts w:hint="eastAsia" w:ascii="仿宋_GB2312" w:eastAsia="仿宋_GB2312"/>
          <w:color w:val="auto"/>
          <w:kern w:val="0"/>
          <w:sz w:val="32"/>
          <w:szCs w:val="32"/>
        </w:rPr>
        <w:t>移送司法机关</w:t>
      </w:r>
      <w:r>
        <w:rPr>
          <w:rFonts w:hint="eastAsia" w:ascii="仿宋_GB2312" w:eastAsia="仿宋_GB2312"/>
          <w:color w:val="auto"/>
          <w:kern w:val="0"/>
          <w:sz w:val="32"/>
          <w:szCs w:val="32"/>
          <w:lang w:eastAsia="zh-CN"/>
        </w:rPr>
        <w:t>处理</w:t>
      </w:r>
      <w:r>
        <w:rPr>
          <w:rFonts w:hint="eastAsia" w:ascii="仿宋_GB2312" w:eastAsia="仿宋_GB2312"/>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黑体" w:hAnsi="黑体" w:eastAsia="黑体"/>
          <w:color w:val="auto"/>
          <w:kern w:val="0"/>
          <w:sz w:val="32"/>
          <w:szCs w:val="32"/>
        </w:rPr>
        <w:t>第</w:t>
      </w:r>
      <w:r>
        <w:rPr>
          <w:rFonts w:hint="eastAsia" w:ascii="黑体" w:hAnsi="黑体" w:eastAsia="黑体"/>
          <w:color w:val="auto"/>
          <w:kern w:val="0"/>
          <w:sz w:val="32"/>
          <w:szCs w:val="32"/>
          <w:lang w:eastAsia="zh-CN"/>
        </w:rPr>
        <w:t>十</w:t>
      </w:r>
      <w:r>
        <w:rPr>
          <w:rFonts w:hint="eastAsia" w:ascii="黑体" w:hAnsi="黑体" w:eastAsia="黑体"/>
          <w:color w:val="auto"/>
          <w:kern w:val="0"/>
          <w:sz w:val="32"/>
          <w:szCs w:val="32"/>
          <w:lang w:val="en-US" w:eastAsia="zh-CN"/>
        </w:rPr>
        <w:t>七</w:t>
      </w:r>
      <w:r>
        <w:rPr>
          <w:rFonts w:hint="eastAsia" w:ascii="黑体" w:hAnsi="黑体" w:eastAsia="黑体"/>
          <w:color w:val="auto"/>
          <w:kern w:val="0"/>
          <w:sz w:val="32"/>
          <w:szCs w:val="32"/>
        </w:rPr>
        <w:t>条</w:t>
      </w:r>
      <w:r>
        <w:rPr>
          <w:rFonts w:hint="eastAsia" w:ascii="仿宋_GB2312" w:eastAsia="仿宋_GB2312"/>
          <w:color w:val="auto"/>
          <w:kern w:val="0"/>
          <w:sz w:val="32"/>
          <w:szCs w:val="32"/>
          <w:lang w:val="en-US" w:eastAsia="zh-CN"/>
        </w:rPr>
        <w:t xml:space="preserve">  </w:t>
      </w:r>
      <w:r>
        <w:rPr>
          <w:rFonts w:hint="eastAsia" w:ascii="仿宋_GB2312" w:eastAsia="仿宋_GB2312"/>
          <w:color w:val="auto"/>
          <w:kern w:val="0"/>
          <w:sz w:val="32"/>
          <w:szCs w:val="32"/>
        </w:rPr>
        <w:t>受委托的社会中介机构在</w:t>
      </w:r>
      <w:r>
        <w:rPr>
          <w:rFonts w:hint="eastAsia" w:ascii="仿宋_GB2312" w:eastAsia="仿宋_GB2312"/>
          <w:color w:val="auto"/>
          <w:kern w:val="0"/>
          <w:sz w:val="32"/>
          <w:szCs w:val="32"/>
          <w:lang w:eastAsia="zh-CN"/>
        </w:rPr>
        <w:t>对专项</w:t>
      </w:r>
      <w:r>
        <w:rPr>
          <w:rFonts w:hint="eastAsia" w:ascii="仿宋_GB2312" w:eastAsia="仿宋_GB2312"/>
          <w:color w:val="auto"/>
          <w:kern w:val="0"/>
          <w:sz w:val="32"/>
          <w:szCs w:val="32"/>
        </w:rPr>
        <w:t>资金</w:t>
      </w:r>
      <w:r>
        <w:rPr>
          <w:rFonts w:hint="eastAsia" w:ascii="仿宋_GB2312" w:eastAsia="仿宋_GB2312"/>
          <w:color w:val="auto"/>
          <w:kern w:val="0"/>
          <w:sz w:val="32"/>
          <w:szCs w:val="32"/>
          <w:lang w:eastAsia="zh-CN"/>
        </w:rPr>
        <w:t>申报的评审</w:t>
      </w:r>
      <w:r>
        <w:rPr>
          <w:rFonts w:hint="eastAsia" w:ascii="仿宋_GB2312" w:eastAsia="仿宋_GB2312"/>
          <w:color w:val="auto"/>
          <w:kern w:val="0"/>
          <w:sz w:val="32"/>
          <w:szCs w:val="32"/>
        </w:rPr>
        <w:t>过程中，存在弄虚作假、隐瞒事实真相、</w:t>
      </w:r>
      <w:r>
        <w:rPr>
          <w:rFonts w:hint="eastAsia" w:ascii="仿宋_GB2312" w:eastAsia="仿宋_GB2312"/>
          <w:color w:val="auto"/>
          <w:kern w:val="0"/>
          <w:sz w:val="32"/>
          <w:szCs w:val="32"/>
          <w:lang w:eastAsia="zh-CN"/>
        </w:rPr>
        <w:t>与专项资金使用</w:t>
      </w:r>
      <w:r>
        <w:rPr>
          <w:rFonts w:hint="eastAsia" w:ascii="仿宋_GB2312" w:eastAsia="仿宋_GB2312"/>
          <w:color w:val="auto"/>
          <w:kern w:val="0"/>
          <w:sz w:val="32"/>
          <w:szCs w:val="32"/>
        </w:rPr>
        <w:t>单位串通作弊等行为的，取消其</w:t>
      </w:r>
      <w:r>
        <w:rPr>
          <w:rFonts w:hint="eastAsia" w:ascii="仿宋_GB2312" w:eastAsia="仿宋_GB2312"/>
          <w:color w:val="auto"/>
          <w:kern w:val="0"/>
          <w:sz w:val="32"/>
          <w:szCs w:val="32"/>
          <w:lang w:eastAsia="zh-CN"/>
        </w:rPr>
        <w:t>当年的专项</w:t>
      </w:r>
      <w:r>
        <w:rPr>
          <w:rFonts w:hint="eastAsia" w:ascii="仿宋_GB2312" w:eastAsia="仿宋_GB2312"/>
          <w:color w:val="auto"/>
          <w:kern w:val="0"/>
          <w:sz w:val="32"/>
          <w:szCs w:val="32"/>
        </w:rPr>
        <w:t>资金评审</w:t>
      </w:r>
      <w:r>
        <w:rPr>
          <w:rFonts w:hint="eastAsia" w:ascii="仿宋_GB2312" w:eastAsia="仿宋_GB2312"/>
          <w:color w:val="auto"/>
          <w:kern w:val="0"/>
          <w:sz w:val="32"/>
          <w:szCs w:val="32"/>
          <w:lang w:eastAsia="zh-CN"/>
        </w:rPr>
        <w:t>服务</w:t>
      </w:r>
      <w:r>
        <w:rPr>
          <w:rFonts w:hint="eastAsia" w:ascii="仿宋_GB2312" w:eastAsia="仿宋_GB2312"/>
          <w:color w:val="auto"/>
          <w:kern w:val="0"/>
          <w:sz w:val="32"/>
          <w:szCs w:val="32"/>
        </w:rPr>
        <w:t>资格，造成</w:t>
      </w:r>
      <w:r>
        <w:rPr>
          <w:rFonts w:hint="eastAsia" w:ascii="仿宋_GB2312" w:eastAsia="仿宋_GB2312"/>
          <w:color w:val="auto"/>
          <w:kern w:val="0"/>
          <w:sz w:val="32"/>
          <w:szCs w:val="32"/>
          <w:lang w:eastAsia="zh-CN"/>
        </w:rPr>
        <w:t>专项</w:t>
      </w:r>
      <w:r>
        <w:rPr>
          <w:rFonts w:hint="eastAsia" w:ascii="仿宋_GB2312" w:eastAsia="仿宋_GB2312"/>
          <w:color w:val="auto"/>
          <w:kern w:val="0"/>
          <w:sz w:val="32"/>
          <w:szCs w:val="32"/>
        </w:rPr>
        <w:t>资金损失的，依法追究</w:t>
      </w:r>
      <w:r>
        <w:rPr>
          <w:rFonts w:hint="eastAsia" w:ascii="仿宋_GB2312" w:eastAsia="仿宋_GB2312"/>
          <w:color w:val="auto"/>
          <w:kern w:val="0"/>
          <w:sz w:val="32"/>
          <w:szCs w:val="32"/>
          <w:lang w:eastAsia="zh-CN"/>
        </w:rPr>
        <w:t>其</w:t>
      </w:r>
      <w:r>
        <w:rPr>
          <w:rFonts w:hint="eastAsia" w:ascii="仿宋_GB2312" w:eastAsia="仿宋_GB2312"/>
          <w:color w:val="auto"/>
          <w:kern w:val="0"/>
          <w:sz w:val="32"/>
          <w:szCs w:val="32"/>
        </w:rPr>
        <w:t>法律责任</w:t>
      </w:r>
      <w:r>
        <w:rPr>
          <w:rFonts w:hint="eastAsia" w:ascii="仿宋_GB2312" w:eastAsia="仿宋_GB2312"/>
          <w:color w:val="auto"/>
          <w:kern w:val="0"/>
          <w:sz w:val="32"/>
          <w:szCs w:val="32"/>
          <w:lang w:eastAsia="zh-CN"/>
        </w:rPr>
        <w:t>，涉嫌犯罪的，依法</w:t>
      </w:r>
      <w:r>
        <w:rPr>
          <w:rFonts w:hint="eastAsia" w:ascii="仿宋_GB2312" w:eastAsia="仿宋_GB2312"/>
          <w:color w:val="auto"/>
          <w:kern w:val="0"/>
          <w:sz w:val="32"/>
          <w:szCs w:val="32"/>
        </w:rPr>
        <w:t>移送司法机关</w:t>
      </w:r>
      <w:r>
        <w:rPr>
          <w:rFonts w:hint="eastAsia" w:ascii="仿宋_GB2312" w:eastAsia="仿宋_GB2312"/>
          <w:color w:val="auto"/>
          <w:kern w:val="0"/>
          <w:sz w:val="32"/>
          <w:szCs w:val="32"/>
          <w:lang w:eastAsia="zh-CN"/>
        </w:rPr>
        <w:t>处理</w:t>
      </w:r>
      <w:r>
        <w:rPr>
          <w:rFonts w:hint="eastAsia" w:ascii="仿宋_GB2312" w:eastAsia="仿宋_GB2312"/>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textAlignment w:val="auto"/>
        <w:outlineLvl w:val="9"/>
        <w:rPr>
          <w:rFonts w:hint="eastAsia" w:ascii="仿宋_GB2312" w:eastAsia="仿宋_GB2312"/>
          <w:color w:val="auto"/>
          <w:kern w:val="0"/>
          <w:sz w:val="32"/>
          <w:szCs w:val="32"/>
          <w:lang w:val="en-US" w:eastAsia="zh-CN"/>
        </w:rPr>
      </w:pPr>
      <w:r>
        <w:rPr>
          <w:rFonts w:hint="eastAsia" w:ascii="黑体" w:hAnsi="黑体" w:eastAsia="黑体"/>
          <w:color w:val="auto"/>
          <w:kern w:val="0"/>
          <w:sz w:val="32"/>
          <w:szCs w:val="32"/>
        </w:rPr>
        <w:t>第</w:t>
      </w:r>
      <w:r>
        <w:rPr>
          <w:rFonts w:hint="eastAsia" w:ascii="黑体" w:hAnsi="黑体" w:eastAsia="黑体"/>
          <w:color w:val="auto"/>
          <w:kern w:val="0"/>
          <w:sz w:val="32"/>
          <w:szCs w:val="32"/>
          <w:lang w:eastAsia="zh-CN"/>
        </w:rPr>
        <w:t>十</w:t>
      </w:r>
      <w:r>
        <w:rPr>
          <w:rFonts w:hint="eastAsia" w:ascii="黑体" w:hAnsi="黑体" w:eastAsia="黑体"/>
          <w:color w:val="auto"/>
          <w:kern w:val="0"/>
          <w:sz w:val="32"/>
          <w:szCs w:val="32"/>
          <w:lang w:val="en-US" w:eastAsia="zh-CN"/>
        </w:rPr>
        <w:t>八</w:t>
      </w:r>
      <w:r>
        <w:rPr>
          <w:rFonts w:hint="eastAsia" w:ascii="黑体" w:hAnsi="黑体" w:eastAsia="黑体"/>
          <w:color w:val="auto"/>
          <w:kern w:val="0"/>
          <w:sz w:val="32"/>
          <w:szCs w:val="32"/>
        </w:rPr>
        <w:t>条</w:t>
      </w:r>
      <w:r>
        <w:rPr>
          <w:rFonts w:hint="eastAsia" w:ascii="仿宋_GB2312" w:eastAsia="仿宋_GB2312"/>
          <w:color w:val="auto"/>
          <w:kern w:val="0"/>
          <w:sz w:val="32"/>
          <w:szCs w:val="32"/>
          <w:lang w:val="en-US" w:eastAsia="zh-CN"/>
        </w:rPr>
        <w:t xml:space="preserve">  </w:t>
      </w:r>
      <w:r>
        <w:rPr>
          <w:rFonts w:hint="eastAsia" w:ascii="仿宋_GB2312" w:eastAsia="仿宋_GB2312"/>
          <w:color w:val="auto"/>
          <w:kern w:val="0"/>
          <w:sz w:val="32"/>
          <w:szCs w:val="32"/>
        </w:rPr>
        <w:t>市、区相关部门工作人员涉嫌贪污贿赂、滥用职权、玩忽职守、权力寻租、利益输送、徇私舞弊以及浪费国家资财等职务违法和职务犯罪的，依法移送相关机关处理。</w:t>
      </w:r>
    </w:p>
    <w:p>
      <w:pPr>
        <w:rPr>
          <w:sz w:val="32"/>
          <w:szCs w:val="32"/>
        </w:rPr>
      </w:pPr>
    </w:p>
    <w:p>
      <w:pPr>
        <w:pageBreakBefore w:val="0"/>
        <w:numPr>
          <w:ilvl w:val="0"/>
          <w:numId w:val="1"/>
        </w:numPr>
        <w:kinsoku/>
        <w:wordWrap/>
        <w:overflowPunct/>
        <w:topLinePunct w:val="0"/>
        <w:autoSpaceDE/>
        <w:autoSpaceDN/>
        <w:bidi w:val="0"/>
        <w:spacing w:line="560" w:lineRule="exact"/>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附则</w:t>
      </w:r>
    </w:p>
    <w:p>
      <w:pPr>
        <w:pageBreakBefore w:val="0"/>
        <w:widowControl/>
        <w:kinsoku/>
        <w:wordWrap/>
        <w:overflowPunct/>
        <w:topLinePunct w:val="0"/>
        <w:autoSpaceDE/>
        <w:autoSpaceDN/>
        <w:bidi w:val="0"/>
        <w:spacing w:line="560" w:lineRule="exact"/>
        <w:ind w:firstLine="640" w:firstLineChars="200"/>
        <w:jc w:val="left"/>
        <w:textAlignment w:val="auto"/>
      </w:pPr>
      <w:r>
        <w:rPr>
          <w:rFonts w:ascii="Times New Roman" w:hAnsi="Times New Roman" w:eastAsia="仿宋_GB2312" w:cs="Times New Roman"/>
          <w:sz w:val="32"/>
          <w:szCs w:val="32"/>
        </w:rPr>
        <w:t xml:space="preserve"> </w:t>
      </w:r>
      <w:r>
        <w:rPr>
          <w:rFonts w:ascii="Times New Roman" w:hAnsi="Times New Roman" w:eastAsia="黑体" w:cs="Times New Roman"/>
          <w:kern w:val="0"/>
          <w:sz w:val="32"/>
        </w:rPr>
        <w:t>第十</w:t>
      </w:r>
      <w:r>
        <w:rPr>
          <w:rFonts w:hint="eastAsia" w:ascii="Times New Roman" w:hAnsi="Times New Roman" w:eastAsia="黑体" w:cs="Times New Roman"/>
          <w:kern w:val="0"/>
          <w:sz w:val="32"/>
          <w:lang w:val="en-US" w:eastAsia="zh-CN"/>
        </w:rPr>
        <w:t>九</w:t>
      </w:r>
      <w:r>
        <w:rPr>
          <w:rFonts w:ascii="Times New Roman" w:hAnsi="Times New Roman" w:eastAsia="黑体" w:cs="Times New Roman"/>
          <w:kern w:val="0"/>
          <w:sz w:val="32"/>
        </w:rPr>
        <w:t>条</w:t>
      </w:r>
      <w:r>
        <w:rPr>
          <w:rFonts w:hint="eastAsia" w:ascii="Times New Roman" w:hAnsi="Times New Roman" w:eastAsia="仿宋_GB2312" w:cs="Times New Roman"/>
          <w:sz w:val="32"/>
          <w:szCs w:val="32"/>
        </w:rPr>
        <w:t xml:space="preserve"> </w:t>
      </w:r>
      <w:r>
        <w:rPr>
          <w:rFonts w:hint="eastAsia" w:ascii="仿宋_GB2312" w:eastAsia="仿宋_GB2312"/>
          <w:color w:val="auto"/>
          <w:kern w:val="0"/>
          <w:sz w:val="32"/>
          <w:szCs w:val="32"/>
          <w:highlight w:val="none"/>
          <w:lang w:val="en-US" w:eastAsia="zh-CN"/>
        </w:rPr>
        <w:t>市金融部门可计提不超过专项资金</w:t>
      </w:r>
      <w:r>
        <w:rPr>
          <w:rFonts w:hint="default" w:ascii="Times New Roman" w:hAnsi="Times New Roman" w:eastAsia="仿宋_GB2312" w:cs="Times New Roman"/>
          <w:color w:val="auto"/>
          <w:kern w:val="0"/>
          <w:sz w:val="32"/>
          <w:szCs w:val="32"/>
          <w:highlight w:val="none"/>
          <w:lang w:val="en-US" w:eastAsia="zh-CN"/>
        </w:rPr>
        <w:t>1%</w:t>
      </w:r>
      <w:r>
        <w:rPr>
          <w:rFonts w:hint="eastAsia" w:ascii="仿宋_GB2312" w:eastAsia="仿宋_GB2312"/>
          <w:color w:val="auto"/>
          <w:kern w:val="0"/>
          <w:sz w:val="32"/>
          <w:szCs w:val="32"/>
          <w:highlight w:val="none"/>
          <w:lang w:val="en-US" w:eastAsia="zh-CN"/>
        </w:rPr>
        <w:t>的工作经费，用于前期工作（用于下一年度预算项目入库的前期论证、立项、入库评审等）以及</w:t>
      </w:r>
      <w:r>
        <w:rPr>
          <w:rFonts w:hint="default" w:ascii="Times New Roman" w:hAnsi="Times New Roman" w:eastAsia="仿宋_GB2312" w:cs="Times New Roman"/>
          <w:color w:val="auto"/>
          <w:kern w:val="0"/>
          <w:sz w:val="32"/>
          <w:szCs w:val="32"/>
          <w:highlight w:val="none"/>
          <w:lang w:val="en-US" w:eastAsia="zh-CN"/>
        </w:rPr>
        <w:t>1%</w:t>
      </w:r>
      <w:r>
        <w:rPr>
          <w:rFonts w:hint="eastAsia" w:ascii="仿宋_GB2312" w:eastAsia="仿宋_GB2312"/>
          <w:color w:val="auto"/>
          <w:kern w:val="0"/>
          <w:sz w:val="32"/>
          <w:szCs w:val="32"/>
          <w:highlight w:val="none"/>
          <w:lang w:val="en-US" w:eastAsia="zh-CN"/>
        </w:rPr>
        <w:t>的事中事后工作经费（用于本年度以及上年度项目验收考评、监督检查、内部审计、绩效管理等）</w:t>
      </w:r>
      <w:r>
        <w:rPr>
          <w:rFonts w:hint="eastAsia" w:ascii="Times New Roman" w:hAnsi="Times New Roman" w:eastAsia="仿宋_GB2312" w:cs="Times New Roman"/>
          <w:sz w:val="32"/>
          <w:szCs w:val="32"/>
        </w:rPr>
        <w:t xml:space="preserve">。 </w:t>
      </w:r>
    </w:p>
    <w:p>
      <w:pPr>
        <w:spacing w:line="560" w:lineRule="exact"/>
        <w:ind w:firstLine="640" w:firstLineChars="200"/>
        <w:rPr>
          <w:rFonts w:hint="eastAsia" w:ascii="仿宋_GB2312" w:eastAsia="仿宋_GB2312"/>
          <w:sz w:val="32"/>
          <w:szCs w:val="32"/>
        </w:rPr>
      </w:pPr>
      <w:r>
        <w:rPr>
          <w:rFonts w:ascii="Times New Roman" w:hAnsi="Times New Roman" w:eastAsia="黑体" w:cs="Times New Roman"/>
          <w:kern w:val="0"/>
          <w:sz w:val="32"/>
        </w:rPr>
        <w:t>第</w:t>
      </w:r>
      <w:r>
        <w:rPr>
          <w:rFonts w:hint="eastAsia" w:ascii="Times New Roman" w:hAnsi="Times New Roman" w:eastAsia="黑体" w:cs="Times New Roman"/>
          <w:kern w:val="0"/>
          <w:sz w:val="32"/>
          <w:lang w:val="en-US" w:eastAsia="zh-CN"/>
        </w:rPr>
        <w:t>二十</w:t>
      </w:r>
      <w:r>
        <w:rPr>
          <w:rFonts w:ascii="Times New Roman" w:hAnsi="Times New Roman" w:eastAsia="黑体" w:cs="Times New Roman"/>
          <w:kern w:val="0"/>
          <w:sz w:val="32"/>
        </w:rPr>
        <w:t>条</w:t>
      </w:r>
      <w:r>
        <w:rPr>
          <w:rFonts w:hint="eastAsia" w:ascii="Times New Roman" w:hAnsi="Times New Roman" w:eastAsia="黑体" w:cs="Times New Roman"/>
          <w:kern w:val="0"/>
          <w:sz w:val="32"/>
          <w:lang w:val="en-US" w:eastAsia="zh-CN"/>
        </w:rPr>
        <w:t xml:space="preserve"> </w:t>
      </w:r>
      <w:r>
        <w:rPr>
          <w:rFonts w:hint="eastAsia" w:ascii="仿宋_GB2312" w:eastAsia="仿宋_GB2312"/>
          <w:sz w:val="32"/>
          <w:szCs w:val="32"/>
        </w:rPr>
        <w:t>本</w:t>
      </w:r>
      <w:r>
        <w:rPr>
          <w:rFonts w:hint="eastAsia" w:ascii="仿宋_GB2312" w:eastAsia="仿宋_GB2312"/>
          <w:sz w:val="32"/>
          <w:szCs w:val="32"/>
          <w:lang w:val="en-US" w:eastAsia="zh-CN"/>
        </w:rPr>
        <w:t>办法</w:t>
      </w:r>
      <w:r>
        <w:rPr>
          <w:rFonts w:hint="eastAsia" w:ascii="仿宋_GB2312" w:eastAsia="仿宋_GB2312"/>
          <w:sz w:val="32"/>
          <w:szCs w:val="32"/>
        </w:rPr>
        <w:t>中的同一事由不享受同一级政府的重复奖励，但同时符合市、区扶持政策的，可申请市、区两级扶持资金。</w:t>
      </w:r>
    </w:p>
    <w:p>
      <w:pPr>
        <w:spacing w:line="560" w:lineRule="exact"/>
        <w:ind w:firstLine="640" w:firstLineChars="200"/>
        <w:rPr>
          <w:rFonts w:hint="eastAsia" w:ascii="仿宋_GB2312" w:eastAsia="仿宋_GB2312"/>
          <w:sz w:val="32"/>
          <w:szCs w:val="32"/>
        </w:rPr>
      </w:pPr>
      <w:r>
        <w:rPr>
          <w:rFonts w:ascii="Times New Roman" w:hAnsi="Times New Roman" w:eastAsia="黑体" w:cs="Times New Roman"/>
          <w:kern w:val="0"/>
          <w:sz w:val="32"/>
        </w:rPr>
        <w:t>第</w:t>
      </w:r>
      <w:r>
        <w:rPr>
          <w:rFonts w:hint="eastAsia" w:ascii="Times New Roman" w:hAnsi="Times New Roman" w:eastAsia="黑体" w:cs="Times New Roman"/>
          <w:kern w:val="0"/>
          <w:sz w:val="32"/>
          <w:lang w:val="en-US" w:eastAsia="zh-CN"/>
        </w:rPr>
        <w:t>二十一</w:t>
      </w:r>
      <w:r>
        <w:rPr>
          <w:rFonts w:ascii="Times New Roman" w:hAnsi="Times New Roman" w:eastAsia="黑体" w:cs="Times New Roman"/>
          <w:kern w:val="0"/>
          <w:sz w:val="32"/>
        </w:rPr>
        <w:t>条</w:t>
      </w:r>
      <w:r>
        <w:rPr>
          <w:rFonts w:hint="eastAsia" w:ascii="Times New Roman" w:hAnsi="Times New Roman" w:eastAsia="黑体" w:cs="Times New Roman"/>
          <w:kern w:val="0"/>
          <w:sz w:val="32"/>
          <w:lang w:val="en-US" w:eastAsia="zh-CN"/>
        </w:rPr>
        <w:t xml:space="preserve"> </w:t>
      </w:r>
      <w:r>
        <w:rPr>
          <w:rFonts w:hint="eastAsia" w:ascii="仿宋_GB2312" w:eastAsia="仿宋_GB2312"/>
          <w:sz w:val="32"/>
          <w:szCs w:val="32"/>
        </w:rPr>
        <w:t>本</w:t>
      </w:r>
      <w:r>
        <w:rPr>
          <w:rFonts w:hint="eastAsia" w:ascii="仿宋_GB2312" w:eastAsia="仿宋_GB2312"/>
          <w:sz w:val="32"/>
          <w:szCs w:val="32"/>
          <w:lang w:val="en-US" w:eastAsia="zh-CN"/>
        </w:rPr>
        <w:t>办法</w:t>
      </w:r>
      <w:r>
        <w:rPr>
          <w:rFonts w:hint="eastAsia" w:ascii="仿宋_GB2312" w:eastAsia="仿宋_GB2312"/>
          <w:sz w:val="32"/>
          <w:szCs w:val="32"/>
        </w:rPr>
        <w:t>所称首次是指自</w:t>
      </w:r>
      <w:r>
        <w:rPr>
          <w:rFonts w:hint="eastAsia" w:ascii="仿宋_GB2312" w:eastAsia="仿宋_GB2312"/>
          <w:sz w:val="32"/>
          <w:szCs w:val="32"/>
          <w:lang w:val="en-US" w:eastAsia="zh-CN"/>
        </w:rPr>
        <w:t>本办法</w:t>
      </w:r>
      <w:r>
        <w:rPr>
          <w:rFonts w:hint="eastAsia" w:ascii="仿宋_GB2312" w:eastAsia="仿宋_GB2312"/>
          <w:sz w:val="32"/>
          <w:szCs w:val="32"/>
        </w:rPr>
        <w:t>印发之日起的第1次。</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kern w:val="0"/>
          <w:sz w:val="32"/>
        </w:rPr>
        <w:t>第</w:t>
      </w:r>
      <w:r>
        <w:rPr>
          <w:rFonts w:hint="eastAsia" w:ascii="Times New Roman" w:hAnsi="Times New Roman" w:eastAsia="黑体" w:cs="Times New Roman"/>
          <w:kern w:val="0"/>
          <w:sz w:val="32"/>
          <w:lang w:val="en-US" w:eastAsia="zh-CN"/>
        </w:rPr>
        <w:t>二十二</w:t>
      </w:r>
      <w:r>
        <w:rPr>
          <w:rFonts w:ascii="Times New Roman" w:hAnsi="Times New Roman" w:eastAsia="黑体" w:cs="Times New Roman"/>
          <w:kern w:val="0"/>
          <w:sz w:val="32"/>
        </w:rPr>
        <w:t>条</w:t>
      </w:r>
      <w:r>
        <w:rPr>
          <w:rFonts w:hint="eastAsia" w:ascii="Times New Roman" w:hAnsi="Times New Roman" w:eastAsia="黑体" w:cs="Times New Roman"/>
          <w:kern w:val="0"/>
          <w:sz w:val="32"/>
        </w:rPr>
        <w:t xml:space="preserve"> </w:t>
      </w:r>
      <w:r>
        <w:rPr>
          <w:rFonts w:ascii="Times New Roman" w:hAnsi="Times New Roman" w:eastAsia="仿宋_GB2312" w:cs="Times New Roman"/>
          <w:sz w:val="32"/>
          <w:szCs w:val="32"/>
        </w:rPr>
        <w:t>本办法由市金融工作局负责解释。</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olor w:val="auto"/>
          <w:sz w:val="32"/>
          <w:lang w:val="en-US" w:eastAsia="zh-CN"/>
        </w:rPr>
      </w:pPr>
      <w:r>
        <w:rPr>
          <w:rFonts w:ascii="Times New Roman" w:hAnsi="Times New Roman" w:eastAsia="黑体" w:cs="Times New Roman"/>
          <w:kern w:val="0"/>
          <w:sz w:val="32"/>
        </w:rPr>
        <w:t>第</w:t>
      </w:r>
      <w:r>
        <w:rPr>
          <w:rFonts w:hint="eastAsia" w:eastAsia="黑体" w:cs="Times New Roman"/>
          <w:kern w:val="0"/>
          <w:sz w:val="32"/>
          <w:lang w:val="en-US" w:eastAsia="zh-CN"/>
        </w:rPr>
        <w:t>二十三</w:t>
      </w:r>
      <w:r>
        <w:rPr>
          <w:rFonts w:ascii="Times New Roman" w:hAnsi="Times New Roman" w:eastAsia="黑体" w:cs="Times New Roman"/>
          <w:kern w:val="0"/>
          <w:sz w:val="32"/>
        </w:rPr>
        <w:t>条</w:t>
      </w:r>
      <w:r>
        <w:rPr>
          <w:rFonts w:hint="eastAsia" w:ascii="Times New Roman" w:hAnsi="Times New Roman" w:eastAsia="黑体" w:cs="Times New Roman"/>
          <w:kern w:val="0"/>
          <w:sz w:val="32"/>
          <w:lang w:val="en-US" w:eastAsia="zh-CN"/>
        </w:rPr>
        <w:t xml:space="preserve"> </w:t>
      </w:r>
      <w:r>
        <w:rPr>
          <w:rFonts w:hint="eastAsia" w:ascii="仿宋_GB2312" w:hAnsi="仿宋_GB2312" w:eastAsia="仿宋_GB2312"/>
          <w:color w:val="auto"/>
          <w:sz w:val="32"/>
        </w:rPr>
        <w:t>本办法自</w:t>
      </w:r>
      <w:r>
        <w:rPr>
          <w:rFonts w:hint="eastAsia" w:ascii="仿宋_GB2312" w:hAnsi="仿宋_GB2312" w:eastAsia="仿宋_GB2312"/>
          <w:color w:val="auto"/>
          <w:sz w:val="32"/>
          <w:lang w:val="en-US" w:eastAsia="zh-CN"/>
        </w:rPr>
        <w:t>印发之日起生效</w:t>
      </w:r>
      <w:r>
        <w:rPr>
          <w:rFonts w:hint="eastAsia" w:ascii="仿宋_GB2312" w:hAnsi="仿宋_GB2312" w:eastAsia="仿宋_GB2312"/>
          <w:color w:val="auto"/>
          <w:sz w:val="32"/>
        </w:rPr>
        <w:t>，有效期</w:t>
      </w:r>
      <w:r>
        <w:rPr>
          <w:rFonts w:hint="default" w:ascii="Times New Roman" w:hAnsi="Times New Roman" w:eastAsia="仿宋_GB2312" w:cs="Times New Roman"/>
          <w:color w:val="auto"/>
          <w:sz w:val="32"/>
          <w:lang w:val="en-US" w:eastAsia="zh-CN"/>
        </w:rPr>
        <w:t>3</w:t>
      </w:r>
      <w:r>
        <w:rPr>
          <w:rFonts w:hint="eastAsia" w:ascii="仿宋_GB2312" w:hAnsi="仿宋_GB2312" w:eastAsia="仿宋_GB2312"/>
          <w:color w:val="auto"/>
          <w:sz w:val="32"/>
          <w:lang w:val="en-US" w:eastAsia="zh-CN"/>
        </w:rPr>
        <w:t>年。</w:t>
      </w:r>
    </w:p>
    <w:sectPr>
      <w:footerReference r:id="rId3" w:type="default"/>
      <w:pgSz w:w="11906" w:h="16838"/>
      <w:pgMar w:top="2098" w:right="1474" w:bottom="1984"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-381000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30pt;height:144pt;width:144pt;mso-position-horizontal:outside;mso-position-horizontal-relative:margin;mso-wrap-style:none;z-index:251659264;mso-width-relative:page;mso-height-relative:page;" filled="f" stroked="f" coordsize="21600,21600" o:gfxdata="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I9KHLTAAAACAEAAA8AAAAAAAAAAQAgAAAA&#10;IgAAAGRycy9kb3ducmV2LnhtbFBLAQIUABQAAAAIAIdO4kBhlWFeEAIAAAcEAAAOAAAAAAAAAAEA&#10;IAAAACIBAABkcnMvZTJvRG9jLnhtbFBLBQYAAAAABgAGAFkBAACk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742BB"/>
    <w:multiLevelType w:val="singleLevel"/>
    <w:tmpl w:val="7CF742BB"/>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6A6F68"/>
    <w:rsid w:val="000320D8"/>
    <w:rsid w:val="00033DA8"/>
    <w:rsid w:val="00181275"/>
    <w:rsid w:val="001A0567"/>
    <w:rsid w:val="001B0EB8"/>
    <w:rsid w:val="002B3A22"/>
    <w:rsid w:val="00375A9E"/>
    <w:rsid w:val="003B1CC3"/>
    <w:rsid w:val="00465E8F"/>
    <w:rsid w:val="00621E6A"/>
    <w:rsid w:val="006351C1"/>
    <w:rsid w:val="008E2477"/>
    <w:rsid w:val="008E66BC"/>
    <w:rsid w:val="00C65964"/>
    <w:rsid w:val="00DC4B3D"/>
    <w:rsid w:val="00DC703A"/>
    <w:rsid w:val="00E7364D"/>
    <w:rsid w:val="011C0275"/>
    <w:rsid w:val="011C5841"/>
    <w:rsid w:val="01545F01"/>
    <w:rsid w:val="016E0BB9"/>
    <w:rsid w:val="01AB677A"/>
    <w:rsid w:val="01E50DE1"/>
    <w:rsid w:val="01F80A10"/>
    <w:rsid w:val="02226DE6"/>
    <w:rsid w:val="02805A0B"/>
    <w:rsid w:val="02BF6542"/>
    <w:rsid w:val="031B00C1"/>
    <w:rsid w:val="0369761D"/>
    <w:rsid w:val="0389654C"/>
    <w:rsid w:val="038F7F83"/>
    <w:rsid w:val="03F83DBC"/>
    <w:rsid w:val="048943DD"/>
    <w:rsid w:val="04AA77FF"/>
    <w:rsid w:val="04F43C81"/>
    <w:rsid w:val="051C7E28"/>
    <w:rsid w:val="05293BC5"/>
    <w:rsid w:val="05AA6ADB"/>
    <w:rsid w:val="068636B9"/>
    <w:rsid w:val="06AC05DA"/>
    <w:rsid w:val="06AC4620"/>
    <w:rsid w:val="06CA585F"/>
    <w:rsid w:val="076A6770"/>
    <w:rsid w:val="08566422"/>
    <w:rsid w:val="0962600E"/>
    <w:rsid w:val="09687604"/>
    <w:rsid w:val="09C86239"/>
    <w:rsid w:val="0ADA3978"/>
    <w:rsid w:val="0B0B6B77"/>
    <w:rsid w:val="0B3A4F7A"/>
    <w:rsid w:val="0BE5007A"/>
    <w:rsid w:val="0C8F0498"/>
    <w:rsid w:val="0C9079B7"/>
    <w:rsid w:val="0D1D7613"/>
    <w:rsid w:val="0D72536A"/>
    <w:rsid w:val="0ECF1972"/>
    <w:rsid w:val="0F8B5292"/>
    <w:rsid w:val="0FE26237"/>
    <w:rsid w:val="100317D7"/>
    <w:rsid w:val="10A512F9"/>
    <w:rsid w:val="10B07F80"/>
    <w:rsid w:val="10C43FF3"/>
    <w:rsid w:val="10D811AC"/>
    <w:rsid w:val="11344F5A"/>
    <w:rsid w:val="114B74DB"/>
    <w:rsid w:val="137E4CCE"/>
    <w:rsid w:val="13DD3CE2"/>
    <w:rsid w:val="13E85FE5"/>
    <w:rsid w:val="142729DC"/>
    <w:rsid w:val="14C37E22"/>
    <w:rsid w:val="15070173"/>
    <w:rsid w:val="152C7792"/>
    <w:rsid w:val="15EB265D"/>
    <w:rsid w:val="16204400"/>
    <w:rsid w:val="179A6EF6"/>
    <w:rsid w:val="17D8541F"/>
    <w:rsid w:val="17E96959"/>
    <w:rsid w:val="18850F67"/>
    <w:rsid w:val="18E6269E"/>
    <w:rsid w:val="196D6C40"/>
    <w:rsid w:val="1A0A016F"/>
    <w:rsid w:val="1AE71668"/>
    <w:rsid w:val="1AF10CDE"/>
    <w:rsid w:val="1B420F16"/>
    <w:rsid w:val="1B8A4CE6"/>
    <w:rsid w:val="1C107B06"/>
    <w:rsid w:val="1C727342"/>
    <w:rsid w:val="1CF612F0"/>
    <w:rsid w:val="1D1D5DD1"/>
    <w:rsid w:val="1D2D1E70"/>
    <w:rsid w:val="1D5000A1"/>
    <w:rsid w:val="1D7D3F0F"/>
    <w:rsid w:val="1E153557"/>
    <w:rsid w:val="1E6F0BB9"/>
    <w:rsid w:val="1F134C3B"/>
    <w:rsid w:val="1FE6326C"/>
    <w:rsid w:val="1FFB2ABF"/>
    <w:rsid w:val="211D5BE1"/>
    <w:rsid w:val="213232A5"/>
    <w:rsid w:val="222E5026"/>
    <w:rsid w:val="223C5A01"/>
    <w:rsid w:val="22B866C6"/>
    <w:rsid w:val="22F074BF"/>
    <w:rsid w:val="23175142"/>
    <w:rsid w:val="233B17D5"/>
    <w:rsid w:val="23A51A93"/>
    <w:rsid w:val="246A4117"/>
    <w:rsid w:val="24CE36FD"/>
    <w:rsid w:val="25A71996"/>
    <w:rsid w:val="25D3305E"/>
    <w:rsid w:val="25E037E2"/>
    <w:rsid w:val="260F606F"/>
    <w:rsid w:val="2615222E"/>
    <w:rsid w:val="26921F86"/>
    <w:rsid w:val="26C15E12"/>
    <w:rsid w:val="29147D24"/>
    <w:rsid w:val="2997149E"/>
    <w:rsid w:val="29F84B50"/>
    <w:rsid w:val="2AD63CBF"/>
    <w:rsid w:val="2BAB5FCC"/>
    <w:rsid w:val="2BAF342A"/>
    <w:rsid w:val="2BFA3DE9"/>
    <w:rsid w:val="2C9C2B7D"/>
    <w:rsid w:val="2CA62F8C"/>
    <w:rsid w:val="2D3E5E1D"/>
    <w:rsid w:val="2D4B0142"/>
    <w:rsid w:val="2DCF613B"/>
    <w:rsid w:val="2E0A15CA"/>
    <w:rsid w:val="2E5660B0"/>
    <w:rsid w:val="2F2D6D16"/>
    <w:rsid w:val="2F865846"/>
    <w:rsid w:val="2F935575"/>
    <w:rsid w:val="31032B29"/>
    <w:rsid w:val="31A74EA9"/>
    <w:rsid w:val="320F177E"/>
    <w:rsid w:val="33374C71"/>
    <w:rsid w:val="33433F9A"/>
    <w:rsid w:val="337A0571"/>
    <w:rsid w:val="33B63BBC"/>
    <w:rsid w:val="33E024E9"/>
    <w:rsid w:val="34E473C8"/>
    <w:rsid w:val="35C63305"/>
    <w:rsid w:val="35D87034"/>
    <w:rsid w:val="35E75205"/>
    <w:rsid w:val="365E5334"/>
    <w:rsid w:val="3797415F"/>
    <w:rsid w:val="37CE002A"/>
    <w:rsid w:val="37DA67F2"/>
    <w:rsid w:val="37F77D32"/>
    <w:rsid w:val="38341559"/>
    <w:rsid w:val="38E00956"/>
    <w:rsid w:val="394566F1"/>
    <w:rsid w:val="39CB5180"/>
    <w:rsid w:val="3A136220"/>
    <w:rsid w:val="3AEE0F6C"/>
    <w:rsid w:val="3C5B524A"/>
    <w:rsid w:val="3C78163A"/>
    <w:rsid w:val="3CB1118A"/>
    <w:rsid w:val="3E0616BA"/>
    <w:rsid w:val="3E3178DC"/>
    <w:rsid w:val="3EA74E5B"/>
    <w:rsid w:val="3ED1768F"/>
    <w:rsid w:val="3EF574D5"/>
    <w:rsid w:val="3FA51298"/>
    <w:rsid w:val="3FAC7AAD"/>
    <w:rsid w:val="400A45A1"/>
    <w:rsid w:val="402D7DCE"/>
    <w:rsid w:val="40532652"/>
    <w:rsid w:val="407C473A"/>
    <w:rsid w:val="40D01611"/>
    <w:rsid w:val="40F256BF"/>
    <w:rsid w:val="410E1FE5"/>
    <w:rsid w:val="41577713"/>
    <w:rsid w:val="41C962F3"/>
    <w:rsid w:val="42FF5A18"/>
    <w:rsid w:val="430A7B3D"/>
    <w:rsid w:val="4378658B"/>
    <w:rsid w:val="438C5A5A"/>
    <w:rsid w:val="43FC5E27"/>
    <w:rsid w:val="4452367D"/>
    <w:rsid w:val="44EC1D5D"/>
    <w:rsid w:val="45617DF8"/>
    <w:rsid w:val="45885921"/>
    <w:rsid w:val="459B261E"/>
    <w:rsid w:val="45CA31EA"/>
    <w:rsid w:val="45CA3890"/>
    <w:rsid w:val="464C6DB8"/>
    <w:rsid w:val="46F85B7D"/>
    <w:rsid w:val="46F925BB"/>
    <w:rsid w:val="481A5793"/>
    <w:rsid w:val="48654763"/>
    <w:rsid w:val="488F6E04"/>
    <w:rsid w:val="49640156"/>
    <w:rsid w:val="49DA7A69"/>
    <w:rsid w:val="4A176D22"/>
    <w:rsid w:val="4AC93525"/>
    <w:rsid w:val="4BA32EFD"/>
    <w:rsid w:val="4C67760D"/>
    <w:rsid w:val="4CD010D6"/>
    <w:rsid w:val="4D005948"/>
    <w:rsid w:val="4D1528BE"/>
    <w:rsid w:val="4D391B7F"/>
    <w:rsid w:val="4D5371B2"/>
    <w:rsid w:val="4D7C052A"/>
    <w:rsid w:val="4DA10628"/>
    <w:rsid w:val="4DAA0E5D"/>
    <w:rsid w:val="4DAD3768"/>
    <w:rsid w:val="4DC47F1D"/>
    <w:rsid w:val="4E1A65EE"/>
    <w:rsid w:val="4E1F1B49"/>
    <w:rsid w:val="4F043E50"/>
    <w:rsid w:val="4F2B6C49"/>
    <w:rsid w:val="4F2C55CE"/>
    <w:rsid w:val="4F99369A"/>
    <w:rsid w:val="50882091"/>
    <w:rsid w:val="51563717"/>
    <w:rsid w:val="524E1751"/>
    <w:rsid w:val="52621ABC"/>
    <w:rsid w:val="52C8547A"/>
    <w:rsid w:val="52F71C8E"/>
    <w:rsid w:val="531440CF"/>
    <w:rsid w:val="53324C95"/>
    <w:rsid w:val="53B32904"/>
    <w:rsid w:val="53CE5A06"/>
    <w:rsid w:val="53E36E79"/>
    <w:rsid w:val="53F61306"/>
    <w:rsid w:val="544A4B14"/>
    <w:rsid w:val="54A309E1"/>
    <w:rsid w:val="54F876F3"/>
    <w:rsid w:val="550373FD"/>
    <w:rsid w:val="55702C89"/>
    <w:rsid w:val="55722FD5"/>
    <w:rsid w:val="55906CF7"/>
    <w:rsid w:val="56107021"/>
    <w:rsid w:val="563F2E4F"/>
    <w:rsid w:val="56550D05"/>
    <w:rsid w:val="56582168"/>
    <w:rsid w:val="56762D55"/>
    <w:rsid w:val="56EB47E9"/>
    <w:rsid w:val="57BA3243"/>
    <w:rsid w:val="58612428"/>
    <w:rsid w:val="587A014B"/>
    <w:rsid w:val="59DF1D2C"/>
    <w:rsid w:val="59E5692A"/>
    <w:rsid w:val="5A76271F"/>
    <w:rsid w:val="5A857A60"/>
    <w:rsid w:val="5B484205"/>
    <w:rsid w:val="5B555933"/>
    <w:rsid w:val="5CC46652"/>
    <w:rsid w:val="5DB473B2"/>
    <w:rsid w:val="5DFD5EFC"/>
    <w:rsid w:val="5E162952"/>
    <w:rsid w:val="5E3F7095"/>
    <w:rsid w:val="5F043490"/>
    <w:rsid w:val="5F6A04C6"/>
    <w:rsid w:val="5FD86A98"/>
    <w:rsid w:val="60A40FED"/>
    <w:rsid w:val="61CE2FD1"/>
    <w:rsid w:val="62166B3C"/>
    <w:rsid w:val="62673A15"/>
    <w:rsid w:val="626B2B81"/>
    <w:rsid w:val="62E034A5"/>
    <w:rsid w:val="631730E1"/>
    <w:rsid w:val="63630D02"/>
    <w:rsid w:val="6475750F"/>
    <w:rsid w:val="64EB1A90"/>
    <w:rsid w:val="65F246E6"/>
    <w:rsid w:val="666A467B"/>
    <w:rsid w:val="66C334BC"/>
    <w:rsid w:val="66F7030C"/>
    <w:rsid w:val="67160FBB"/>
    <w:rsid w:val="68B41C10"/>
    <w:rsid w:val="693C58E8"/>
    <w:rsid w:val="699F1C46"/>
    <w:rsid w:val="6A010483"/>
    <w:rsid w:val="6A5D089F"/>
    <w:rsid w:val="6A915555"/>
    <w:rsid w:val="6C3325F0"/>
    <w:rsid w:val="6E2A1953"/>
    <w:rsid w:val="6E3A3C98"/>
    <w:rsid w:val="6EC90B23"/>
    <w:rsid w:val="6F4E082A"/>
    <w:rsid w:val="6FEE43E0"/>
    <w:rsid w:val="6FF96F98"/>
    <w:rsid w:val="702778F8"/>
    <w:rsid w:val="705A2E16"/>
    <w:rsid w:val="70956EBE"/>
    <w:rsid w:val="70F11C35"/>
    <w:rsid w:val="71846B6D"/>
    <w:rsid w:val="71BB5BC0"/>
    <w:rsid w:val="71E231D1"/>
    <w:rsid w:val="721A47B2"/>
    <w:rsid w:val="725840FF"/>
    <w:rsid w:val="725D25C5"/>
    <w:rsid w:val="726A6F68"/>
    <w:rsid w:val="72751FDB"/>
    <w:rsid w:val="72C6217B"/>
    <w:rsid w:val="72D05CB7"/>
    <w:rsid w:val="730E5FA7"/>
    <w:rsid w:val="733E0FD6"/>
    <w:rsid w:val="738D4820"/>
    <w:rsid w:val="73BB7419"/>
    <w:rsid w:val="7418240D"/>
    <w:rsid w:val="744D3502"/>
    <w:rsid w:val="745E6C9D"/>
    <w:rsid w:val="75221EFD"/>
    <w:rsid w:val="757F4D5F"/>
    <w:rsid w:val="75953009"/>
    <w:rsid w:val="75AB2B34"/>
    <w:rsid w:val="76A6414F"/>
    <w:rsid w:val="76D274DF"/>
    <w:rsid w:val="76DA5AA8"/>
    <w:rsid w:val="77052AD8"/>
    <w:rsid w:val="774D79DF"/>
    <w:rsid w:val="77593610"/>
    <w:rsid w:val="77C22E86"/>
    <w:rsid w:val="77E84A01"/>
    <w:rsid w:val="79C44275"/>
    <w:rsid w:val="7A137825"/>
    <w:rsid w:val="7A27778C"/>
    <w:rsid w:val="7A2876B0"/>
    <w:rsid w:val="7A4E7266"/>
    <w:rsid w:val="7A665EEF"/>
    <w:rsid w:val="7B947EA2"/>
    <w:rsid w:val="7BEB1FAC"/>
    <w:rsid w:val="7BF41BEF"/>
    <w:rsid w:val="7C8A569C"/>
    <w:rsid w:val="7D0A0843"/>
    <w:rsid w:val="7D7C41C0"/>
    <w:rsid w:val="7DD91DB5"/>
    <w:rsid w:val="7E6C4E7E"/>
    <w:rsid w:val="7EEC5649"/>
    <w:rsid w:val="7F5A1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Emphasis"/>
    <w:basedOn w:val="7"/>
    <w:qFormat/>
    <w:uiPriority w:val="0"/>
    <w:rPr>
      <w:i/>
    </w:rPr>
  </w:style>
  <w:style w:type="paragraph" w:customStyle="1" w:styleId="9">
    <w:name w:val="Normal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0">
    <w:name w:val="Normal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1">
    <w:name w:val="Normal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2">
    <w:name w:val="正文 New New"/>
    <w:qFormat/>
    <w:uiPriority w:val="0"/>
    <w:pPr>
      <w:widowControl w:val="0"/>
      <w:jc w:val="both"/>
    </w:pPr>
    <w:rPr>
      <w:rFonts w:hint="eastAsia"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市政府</Company>
  <Pages>12</Pages>
  <Words>844</Words>
  <Characters>4813</Characters>
  <Lines>40</Lines>
  <Paragraphs>11</Paragraphs>
  <TotalTime>2</TotalTime>
  <ScaleCrop>false</ScaleCrop>
  <LinksUpToDate>false</LinksUpToDate>
  <CharactersWithSpaces>5646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2021-03-15T02:53:00Z</dcterms:created>
  <dc:creator>萤火冢</dc:creator>
  <cp:lastModifiedBy>刘柳霞</cp:lastModifiedBy>
  <cp:lastPrinted>2022-07-11T03:09:00Z</cp:lastPrinted>
  <dcterms:modified xsi:type="dcterms:W3CDTF">2022-09-19T09:09:45Z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