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宋体" w:eastAsia="方正小标宋简体" w:cs="Times New Roman"/>
          <w:sz w:val="44"/>
          <w:szCs w:val="44"/>
          <w:lang w:val="en-US" w:eastAsia="zh-CN" w:bidi="ar-SA"/>
        </w:rPr>
      </w:pPr>
      <w:r>
        <w:rPr>
          <w:rFonts w:hint="eastAsia" w:ascii="方正小标宋简体" w:hAnsi="宋体" w:eastAsia="方正小标宋简体" w:cs="Times New Roman"/>
          <w:sz w:val="44"/>
          <w:szCs w:val="44"/>
          <w:lang w:val="en-US" w:eastAsia="zh-CN" w:bidi="ar-SA"/>
        </w:rPr>
        <w:t>太平洋财险佛山分公司支持企业发展服务方案</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黑体" w:hAnsi="黑体" w:eastAsia="黑体" w:cs="黑体"/>
          <w:b w:val="0"/>
          <w:bCs w:val="0"/>
          <w:sz w:val="32"/>
          <w:szCs w:val="32"/>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一、公司介绍</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太平洋为“世界500强”企业，是中国太平洋保险（集团）股份有限公司（以下简称“中国太平洋保险”）旗下的专业子公司，为客户提供全面的财产保险产品和服务。</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中国太平洋保险以客户需求为导向，强化创新驱动和差异化发展，着力提升综合竞争力，推动和实现可持续的价值增长，向“在你身边的一流保险金融服务集团”的目标迈进。 </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支持我市企业积极应对新一波新冠肺炎疫情冲击影响，保障市场主体经营稳定性和持续性，我司推出金融支持企业平稳应对疫情综合服务方案，推动优化疫情期间金融服务的及时性、可得性及服务质量，扎实服务实体经济发展。</w:t>
      </w:r>
    </w:p>
    <w:p>
      <w:pPr>
        <w:keepNext w:val="0"/>
        <w:keepLines w:val="0"/>
        <w:pageBreakBefore w:val="0"/>
        <w:numPr>
          <w:ilvl w:val="0"/>
          <w:numId w:val="0"/>
        </w:numPr>
        <w:kinsoku/>
        <w:wordWrap/>
        <w:overflowPunct/>
        <w:topLinePunct w:val="0"/>
        <w:autoSpaceDE/>
        <w:autoSpaceDN/>
        <w:bidi w:val="0"/>
        <w:spacing w:line="560" w:lineRule="exact"/>
        <w:ind w:left="0" w:leftChars="0"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保险服务方案目录</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115"/>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序号</w:t>
            </w:r>
          </w:p>
        </w:tc>
        <w:tc>
          <w:tcPr>
            <w:tcW w:w="2115"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方案产品</w:t>
            </w:r>
          </w:p>
        </w:tc>
        <w:tc>
          <w:tcPr>
            <w:tcW w:w="5228"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产品功能简介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1</w:t>
            </w:r>
          </w:p>
        </w:tc>
        <w:tc>
          <w:tcPr>
            <w:tcW w:w="2115"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履约保函产品</w:t>
            </w:r>
          </w:p>
        </w:tc>
        <w:tc>
          <w:tcPr>
            <w:tcW w:w="5228"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减少资金占用，盘活企业资金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2</w:t>
            </w:r>
          </w:p>
        </w:tc>
        <w:tc>
          <w:tcPr>
            <w:tcW w:w="2115" w:type="dxa"/>
            <w:vAlign w:val="top"/>
          </w:tcPr>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复展保</w:t>
            </w:r>
          </w:p>
        </w:tc>
        <w:tc>
          <w:tcPr>
            <w:tcW w:w="5228" w:type="dxa"/>
            <w:vAlign w:val="top"/>
          </w:tcPr>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疫情期间，展会的后盾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3"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2</w:t>
            </w:r>
          </w:p>
        </w:tc>
        <w:tc>
          <w:tcPr>
            <w:tcW w:w="2115"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商户保</w:t>
            </w:r>
            <w:r>
              <w:rPr>
                <w:rFonts w:hint="eastAsia" w:ascii="仿宋_GB2312" w:hAnsi="仿宋_GB2312" w:eastAsia="仿宋_GB2312" w:cs="仿宋_GB2312"/>
                <w:sz w:val="32"/>
                <w:szCs w:val="32"/>
                <w:lang w:val="en-US" w:eastAsia="zh-CN"/>
              </w:rPr>
              <w:t>3.0</w:t>
            </w:r>
          </w:p>
        </w:tc>
        <w:tc>
          <w:tcPr>
            <w:tcW w:w="5228" w:type="dxa"/>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疫情期间，</w:t>
            </w:r>
            <w:r>
              <w:rPr>
                <w:rFonts w:hint="eastAsia" w:ascii="仿宋_GB2312" w:hAnsi="仿宋_GB2312" w:eastAsia="仿宋_GB2312" w:cs="仿宋_GB2312"/>
                <w:sz w:val="32"/>
                <w:szCs w:val="32"/>
              </w:rPr>
              <w:t>小微企业专属保险方案</w:t>
            </w:r>
          </w:p>
        </w:tc>
      </w:tr>
    </w:tbl>
    <w:p>
      <w:pPr>
        <w:keepNext w:val="0"/>
        <w:keepLines w:val="0"/>
        <w:pageBreakBefore w:val="0"/>
        <w:kinsoku/>
        <w:wordWrap/>
        <w:overflowPunct/>
        <w:topLinePunct w:val="0"/>
        <w:autoSpaceDE/>
        <w:autoSpaceDN/>
        <w:bidi w:val="0"/>
        <w:spacing w:beforeLines="0" w:afterLines="0" w:line="560" w:lineRule="exact"/>
        <w:ind w:left="0" w:firstLine="640" w:firstLineChars="200"/>
        <w:textAlignment w:val="auto"/>
        <w:rPr>
          <w:rFonts w:hint="eastAsia" w:ascii="仿宋" w:hAnsi="仿宋" w:eastAsia="仿宋" w:cs="仿宋"/>
          <w:b w:val="0"/>
          <w:bCs w:val="0"/>
          <w:sz w:val="32"/>
          <w:szCs w:val="32"/>
        </w:rPr>
      </w:pPr>
      <w:r>
        <w:rPr>
          <w:rFonts w:hint="eastAsia" w:ascii="仿宋" w:hAnsi="仿宋" w:eastAsia="仿宋" w:cs="仿宋"/>
          <w:sz w:val="32"/>
          <w:szCs w:val="32"/>
          <w:lang w:val="en-US" w:eastAsia="zh-CN"/>
        </w:rPr>
        <w:br w:type="page"/>
      </w:r>
      <w:r>
        <w:rPr>
          <w:rFonts w:hint="eastAsia" w:ascii="黑体" w:hAnsi="黑体" w:eastAsia="黑体" w:cs="黑体"/>
          <w:b w:val="0"/>
          <w:bCs w:val="0"/>
          <w:sz w:val="32"/>
          <w:szCs w:val="32"/>
        </w:rPr>
        <w:t>三、保险服务方案</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 w:hAnsi="仿宋" w:eastAsia="仿宋" w:cs="仿宋"/>
          <w:b w:val="0"/>
          <w:bCs w:val="0"/>
          <w:sz w:val="32"/>
          <w:szCs w:val="32"/>
          <w:lang w:eastAsia="zh-CN"/>
        </w:rPr>
      </w:pPr>
      <w:r>
        <w:rPr>
          <w:rFonts w:hint="eastAsia" w:ascii="楷体_GB2312" w:hAnsi="楷体_GB2312" w:eastAsia="楷体_GB2312" w:cs="楷体_GB2312"/>
          <w:b w:val="0"/>
          <w:bCs w:val="0"/>
          <w:sz w:val="32"/>
          <w:szCs w:val="32"/>
        </w:rPr>
        <w:t>（一）履约保函产品，降低企业成本，盘活企业资金</w:t>
      </w: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企业凡参加建筑工程项目，从项目招标到项目完工，企业需要缴纳一定的保证金，如招标保证金、工人工资保证金、完工履约保证金、工程质量保证金等，并且这些保证金少则会冻结资金30至90天，多则被冻结超3年，严重挤占建筑企业的资金、降低企业资金流。佛山人保为建筑企业提供保函服务，既不占压企业资金，也不占用企业的银行授信额度，以更低成本释放建筑企业沉淀资金，为建筑企业减轻资金压力，降低资金成本，盘活企业资金。</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完工履约保函</w:t>
      </w:r>
      <w:r>
        <w:rPr>
          <w:rFonts w:hint="eastAsia" w:ascii="仿宋_GB2312" w:hAnsi="仿宋_GB2312" w:eastAsia="仿宋_GB2312" w:cs="仿宋_GB2312"/>
          <w:kern w:val="2"/>
          <w:sz w:val="32"/>
          <w:szCs w:val="32"/>
          <w:lang w:val="en-US" w:eastAsia="zh-CN" w:bidi="ar-SA"/>
        </w:rPr>
        <w:t>：指由保险机构为施工单位向建设单位提供的、保证施工单位履行工程建设合同约定义务的担保，承保费率根据工程的类型、工程造价、工程期限等因素调整，承保费率在0.5%-2%之间。</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工人工资保函</w:t>
      </w:r>
      <w:r>
        <w:rPr>
          <w:rFonts w:hint="eastAsia" w:ascii="仿宋_GB2312" w:hAnsi="仿宋_GB2312" w:eastAsia="仿宋_GB2312" w:cs="仿宋_GB2312"/>
          <w:kern w:val="2"/>
          <w:sz w:val="32"/>
          <w:szCs w:val="32"/>
          <w:lang w:val="en-US" w:eastAsia="zh-CN" w:bidi="ar-SA"/>
        </w:rPr>
        <w:t xml:space="preserve">：指由保险机构为施工单位向行政主管部门提供的保证施工单位履行支付农民工工资义务的担保，承保费率根据工程的类型、工程造价、工程期限等因素调整，承保费率在1.5%-2.5%之间。    </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招标保函：</w:t>
      </w:r>
      <w:r>
        <w:rPr>
          <w:rFonts w:hint="eastAsia" w:ascii="仿宋_GB2312" w:hAnsi="仿宋_GB2312" w:eastAsia="仿宋_GB2312" w:cs="仿宋_GB2312"/>
          <w:kern w:val="2"/>
          <w:sz w:val="32"/>
          <w:szCs w:val="32"/>
          <w:lang w:val="en-US" w:eastAsia="zh-CN" w:bidi="ar-SA"/>
        </w:rPr>
        <w:t>指由保险机构为投标人向招标人提供的、保证投标人按照招标文件的规定参加招标活动的担保，承保费率根据工程的类型、工程造价、工程期限等因素调整，承保费率在0.5‰-1.5‰之间。</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 w:hAnsi="楷体" w:eastAsia="楷体" w:cs="楷体"/>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（二）复展保，疫情期间，展会的后盾</w:t>
      </w:r>
    </w:p>
    <w:p>
      <w:pPr>
        <w:pStyle w:val="18"/>
        <w:keepNext w:val="0"/>
        <w:keepLines w:val="0"/>
        <w:pageBreakBefore w:val="0"/>
        <w:numPr>
          <w:ilvl w:val="0"/>
          <w:numId w:val="2"/>
        </w:numPr>
        <w:shd w:val="clear" w:color="auto" w:fill="auto"/>
        <w:kinsoku/>
        <w:wordWrap/>
        <w:overflowPunct/>
        <w:topLinePunct w:val="0"/>
        <w:autoSpaceDE/>
        <w:autoSpaceDN/>
        <w:bidi w:val="0"/>
        <w:adjustRightInd w:val="0"/>
        <w:spacing w:line="560" w:lineRule="exact"/>
        <w:ind w:firstLineChars="0"/>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方案一（观众的补助赔偿）</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保障入场参展的观众在确诊患上新冠病毒后的一次性补助（1万）、住院津贴（每天50元，最多60天）、身故赔偿金（10万）</w:t>
      </w:r>
    </w:p>
    <w:tbl>
      <w:tblPr>
        <w:tblStyle w:val="9"/>
        <w:tblpPr w:leftFromText="180" w:rightFromText="180" w:vertAnchor="text" w:horzAnchor="page" w:tblpX="2161" w:tblpY="382"/>
        <w:tblOverlap w:val="never"/>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项目</w:t>
            </w:r>
          </w:p>
        </w:tc>
        <w:tc>
          <w:tcPr>
            <w:tcW w:w="337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每人保额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因确诊“新冠肺炎”一次性补助确诊保险金</w:t>
            </w:r>
          </w:p>
        </w:tc>
        <w:tc>
          <w:tcPr>
            <w:tcW w:w="337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因确诊“新冠肺炎”身故</w:t>
            </w:r>
          </w:p>
        </w:tc>
        <w:tc>
          <w:tcPr>
            <w:tcW w:w="337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因确诊“新冠肺炎”住院的津贴</w:t>
            </w:r>
          </w:p>
        </w:tc>
        <w:tc>
          <w:tcPr>
            <w:tcW w:w="337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RMB50元/天</w:t>
            </w:r>
          </w:p>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（最高赔偿期限60天）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91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保费</w:t>
            </w:r>
          </w:p>
        </w:tc>
        <w:tc>
          <w:tcPr>
            <w:tcW w:w="3378"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val="0"/>
                <w:bCs w:val="0"/>
                <w:kern w:val="0"/>
                <w:sz w:val="32"/>
                <w:szCs w:val="32"/>
                <w:lang w:val="zh-CN"/>
              </w:rPr>
            </w:pPr>
            <w:r>
              <w:rPr>
                <w:rFonts w:hint="eastAsia" w:ascii="仿宋_GB2312" w:hAnsi="仿宋_GB2312" w:eastAsia="仿宋_GB2312" w:cs="仿宋_GB2312"/>
                <w:b w:val="0"/>
                <w:bCs w:val="0"/>
                <w:kern w:val="0"/>
                <w:sz w:val="32"/>
                <w:szCs w:val="32"/>
                <w:lang w:val="zh-CN"/>
              </w:rPr>
              <w:t>8,000.00元</w:t>
            </w:r>
          </w:p>
        </w:tc>
      </w:tr>
    </w:tbl>
    <w:p>
      <w:pPr>
        <w:pStyle w:val="18"/>
        <w:keepNext w:val="0"/>
        <w:keepLines w:val="0"/>
        <w:pageBreakBefore w:val="0"/>
        <w:numPr>
          <w:ilvl w:val="0"/>
          <w:numId w:val="2"/>
        </w:numPr>
        <w:shd w:val="clear" w:color="auto" w:fill="auto"/>
        <w:kinsoku/>
        <w:wordWrap/>
        <w:overflowPunct/>
        <w:topLinePunct w:val="0"/>
        <w:autoSpaceDE/>
        <w:autoSpaceDN/>
        <w:bidi w:val="0"/>
        <w:adjustRightInd w:val="0"/>
        <w:spacing w:line="560" w:lineRule="exact"/>
        <w:ind w:firstLineChars="0"/>
        <w:textAlignment w:val="auto"/>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方案二（工作人员的补助赔偿和隔离费用）</w:t>
      </w:r>
    </w:p>
    <w:p>
      <w:pPr>
        <w:keepNext w:val="0"/>
        <w:keepLines w:val="0"/>
        <w:pageBreakBefore w:val="0"/>
        <w:kinsoku/>
        <w:wordWrap/>
        <w:overflowPunct/>
        <w:topLinePunct w:val="0"/>
        <w:autoSpaceDE/>
        <w:autoSpaceDN/>
        <w:bidi w:val="0"/>
        <w:adjustRightInd w:val="0"/>
        <w:snapToGrid w:val="0"/>
        <w:spacing w:line="560" w:lineRule="exact"/>
        <w:ind w:left="0" w:firstLine="555"/>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保障主办方、场地方、承办方的工作人员在参展过程中罹患新冠肺炎导致的一次性补助、住院津贴、身故保险金、隔离费用。</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02"/>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项目</w:t>
            </w:r>
          </w:p>
        </w:tc>
        <w:tc>
          <w:tcPr>
            <w:tcW w:w="3402"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A款（每人保额）</w:t>
            </w:r>
          </w:p>
        </w:tc>
        <w:tc>
          <w:tcPr>
            <w:tcW w:w="3481"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B款（每人保额）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8296" w:type="dxa"/>
            <w:gridSpan w:val="3"/>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
                <w:bCs/>
                <w:kern w:val="0"/>
                <w:sz w:val="32"/>
                <w:szCs w:val="32"/>
                <w:lang w:val="zh-CN"/>
              </w:rPr>
              <w:t>补助赔偿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一次性补助确诊保险金</w:t>
            </w:r>
          </w:p>
        </w:tc>
        <w:tc>
          <w:tcPr>
            <w:tcW w:w="3402"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2000元</w:t>
            </w:r>
          </w:p>
        </w:tc>
        <w:tc>
          <w:tcPr>
            <w:tcW w:w="3481"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身故</w:t>
            </w:r>
          </w:p>
        </w:tc>
        <w:tc>
          <w:tcPr>
            <w:tcW w:w="3402"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6万元</w:t>
            </w:r>
          </w:p>
        </w:tc>
        <w:tc>
          <w:tcPr>
            <w:tcW w:w="3481"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住院的津贴</w:t>
            </w:r>
          </w:p>
        </w:tc>
        <w:tc>
          <w:tcPr>
            <w:tcW w:w="3402"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50元/天</w:t>
            </w:r>
          </w:p>
        </w:tc>
        <w:tc>
          <w:tcPr>
            <w:tcW w:w="3481" w:type="dxa"/>
            <w:vAlign w:val="center"/>
          </w:tcPr>
          <w:p>
            <w:pPr>
              <w:keepNext w:val="0"/>
              <w:keepLines w:val="0"/>
              <w:pageBreakBefore w:val="0"/>
              <w:kinsoku/>
              <w:wordWrap/>
              <w:overflowPunct/>
              <w:topLinePunct w:val="0"/>
              <w:autoSpaceDE/>
              <w:autoSpaceDN/>
              <w:bidi w:val="0"/>
              <w:adjustRightInd w:val="0"/>
              <w:spacing w:line="560" w:lineRule="exact"/>
              <w:ind w:left="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80元/天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Cs/>
                <w:kern w:val="0"/>
                <w:sz w:val="32"/>
                <w:szCs w:val="32"/>
                <w:lang w:val="zh-CN"/>
              </w:rPr>
            </w:pPr>
            <w:r>
              <w:rPr>
                <w:rFonts w:hint="eastAsia" w:ascii="仿宋_GB2312" w:hAnsi="仿宋_GB2312" w:eastAsia="仿宋_GB2312" w:cs="仿宋_GB2312"/>
                <w:bCs/>
                <w:kern w:val="0"/>
                <w:sz w:val="32"/>
                <w:szCs w:val="32"/>
                <w:lang w:val="zh-CN"/>
              </w:rPr>
              <w:t>保费</w:t>
            </w:r>
          </w:p>
        </w:tc>
        <w:tc>
          <w:tcPr>
            <w:tcW w:w="3402"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1.5元/人</w:t>
            </w:r>
          </w:p>
        </w:tc>
        <w:tc>
          <w:tcPr>
            <w:tcW w:w="3481" w:type="dxa"/>
            <w:vAlign w:val="center"/>
          </w:tcPr>
          <w:p>
            <w:pPr>
              <w:keepNext w:val="0"/>
              <w:keepLines w:val="0"/>
              <w:pageBreakBefore w:val="0"/>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3"/>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kern w:val="0"/>
                <w:sz w:val="32"/>
                <w:szCs w:val="32"/>
                <w:lang w:val="zh-CN"/>
              </w:rPr>
              <w:t>隔离费用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kern w:val="0"/>
                <w:sz w:val="32"/>
                <w:szCs w:val="32"/>
                <w:lang w:val="zh-CN"/>
              </w:rPr>
              <w:t>应政府主管部门要求隔离的雇员</w:t>
            </w:r>
          </w:p>
        </w:tc>
        <w:tc>
          <w:tcPr>
            <w:tcW w:w="3402" w:type="dxa"/>
            <w:vAlign w:val="center"/>
          </w:tcPr>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累计赔偿限额30万元</w:t>
            </w:r>
          </w:p>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每次事故限额：2万元/天，</w:t>
            </w:r>
          </w:p>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每人每次事故限额：300元/人/天；</w:t>
            </w:r>
          </w:p>
          <w:p>
            <w:pPr>
              <w:keepNext w:val="0"/>
              <w:keepLines w:val="0"/>
              <w:pageBreakBefore w:val="0"/>
              <w:widowControl/>
              <w:shd w:val="clear" w:color="auto" w:fill="auto"/>
              <w:kinsoku/>
              <w:wordWrap/>
              <w:overflowPunct/>
              <w:topLinePunct w:val="0"/>
              <w:autoSpaceDE/>
              <w:autoSpaceDN/>
              <w:bidi w:val="0"/>
              <w:spacing w:line="560" w:lineRule="exact"/>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zh-CN"/>
              </w:rPr>
              <w:t>最高赔偿期限为14天</w:t>
            </w:r>
          </w:p>
        </w:tc>
        <w:tc>
          <w:tcPr>
            <w:tcW w:w="3481" w:type="dxa"/>
            <w:vAlign w:val="center"/>
          </w:tcPr>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累计赔偿限额60万元</w:t>
            </w:r>
          </w:p>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每次事故限额：4万元/天，</w:t>
            </w:r>
          </w:p>
          <w:p>
            <w:pPr>
              <w:keepNext w:val="0"/>
              <w:keepLines w:val="0"/>
              <w:pageBreakBefore w:val="0"/>
              <w:kinsoku/>
              <w:wordWrap/>
              <w:overflowPunct/>
              <w:topLinePunct w:val="0"/>
              <w:autoSpaceDE/>
              <w:autoSpaceDN/>
              <w:bidi w:val="0"/>
              <w:adjustRightInd w:val="0"/>
              <w:spacing w:line="560" w:lineRule="exac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每人每次事故限额：400元/人/天；</w:t>
            </w:r>
          </w:p>
          <w:p>
            <w:pPr>
              <w:keepNext w:val="0"/>
              <w:keepLines w:val="0"/>
              <w:pageBreakBefore w:val="0"/>
              <w:widowControl/>
              <w:shd w:val="clear" w:color="auto" w:fill="auto"/>
              <w:kinsoku/>
              <w:wordWrap/>
              <w:overflowPunct/>
              <w:topLinePunct w:val="0"/>
              <w:autoSpaceDE/>
              <w:autoSpaceDN/>
              <w:bidi w:val="0"/>
              <w:spacing w:line="560" w:lineRule="exact"/>
              <w:jc w:val="left"/>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sz w:val="32"/>
                <w:szCs w:val="32"/>
                <w:lang w:val="zh-CN"/>
              </w:rPr>
              <w:t>最高赔偿期限为14天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13" w:type="dxa"/>
            <w:vAlign w:val="top"/>
          </w:tcPr>
          <w:p>
            <w:pPr>
              <w:keepNext w:val="0"/>
              <w:keepLines w:val="0"/>
              <w:pageBreakBefore w:val="0"/>
              <w:widowControl/>
              <w:kinsoku/>
              <w:wordWrap/>
              <w:overflowPunct/>
              <w:topLinePunct w:val="0"/>
              <w:autoSpaceDE/>
              <w:autoSpaceDN/>
              <w:bidi w:val="0"/>
              <w:adjustRightInd w:val="0"/>
              <w:spacing w:line="560" w:lineRule="exact"/>
              <w:jc w:val="center"/>
              <w:textAlignment w:val="auto"/>
              <w:rPr>
                <w:rFonts w:hint="eastAsia" w:ascii="仿宋_GB2312" w:hAnsi="仿宋_GB2312" w:eastAsia="仿宋_GB2312" w:cs="仿宋_GB2312"/>
                <w:b/>
                <w:bCs/>
                <w:kern w:val="0"/>
                <w:sz w:val="32"/>
                <w:szCs w:val="32"/>
                <w:lang w:val="zh-CN"/>
              </w:rPr>
            </w:pPr>
            <w:r>
              <w:rPr>
                <w:rFonts w:hint="eastAsia" w:ascii="仿宋_GB2312" w:hAnsi="仿宋_GB2312" w:eastAsia="仿宋_GB2312" w:cs="仿宋_GB2312"/>
                <w:bCs/>
                <w:kern w:val="0"/>
                <w:sz w:val="32"/>
                <w:szCs w:val="32"/>
                <w:lang w:val="zh-CN"/>
              </w:rPr>
              <w:t>保费</w:t>
            </w:r>
          </w:p>
        </w:tc>
        <w:tc>
          <w:tcPr>
            <w:tcW w:w="3402" w:type="dxa"/>
            <w:vAlign w:val="center"/>
          </w:tcPr>
          <w:p>
            <w:pPr>
              <w:keepNext w:val="0"/>
              <w:keepLines w:val="0"/>
              <w:pageBreakBefore w:val="0"/>
              <w:widowControl/>
              <w:shd w:val="clear" w:color="auto" w:fill="auto"/>
              <w:kinsoku/>
              <w:wordWrap/>
              <w:overflowPunct/>
              <w:topLinePunct w:val="0"/>
              <w:autoSpaceDE/>
              <w:autoSpaceDN/>
              <w:bidi w:val="0"/>
              <w:spacing w:line="560" w:lineRule="exact"/>
              <w:jc w:val="center"/>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Cs/>
                <w:sz w:val="32"/>
                <w:szCs w:val="32"/>
                <w:lang w:val="zh-CN"/>
              </w:rPr>
              <w:t>1500元</w:t>
            </w:r>
          </w:p>
        </w:tc>
        <w:tc>
          <w:tcPr>
            <w:tcW w:w="3481" w:type="dxa"/>
            <w:vAlign w:val="center"/>
          </w:tcPr>
          <w:p>
            <w:pPr>
              <w:keepNext w:val="0"/>
              <w:keepLines w:val="0"/>
              <w:pageBreakBefore w:val="0"/>
              <w:widowControl/>
              <w:shd w:val="clear" w:color="auto" w:fill="auto"/>
              <w:kinsoku/>
              <w:wordWrap/>
              <w:overflowPunct/>
              <w:topLinePunct w:val="0"/>
              <w:autoSpaceDE/>
              <w:autoSpaceDN/>
              <w:bidi w:val="0"/>
              <w:spacing w:line="560" w:lineRule="exact"/>
              <w:jc w:val="center"/>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Cs/>
                <w:sz w:val="32"/>
                <w:szCs w:val="32"/>
                <w:lang w:val="zh-CN"/>
              </w:rPr>
              <w:t>3000元</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（三）商户保3.0，小微企业专属保险方案</w:t>
      </w:r>
    </w:p>
    <w:p>
      <w:pPr>
        <w:keepNext w:val="0"/>
        <w:keepLines w:val="0"/>
        <w:pageBreakBefore w:val="0"/>
        <w:widowControl w:val="0"/>
        <w:kinsoku/>
        <w:wordWrap/>
        <w:overflowPunct/>
        <w:topLinePunct w:val="0"/>
        <w:autoSpaceDE/>
        <w:autoSpaceDN/>
        <w:bidi w:val="0"/>
        <w:spacing w:line="560" w:lineRule="exact"/>
        <w:ind w:firstLine="57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bidi="ar-SA"/>
        </w:rPr>
        <w:t>方案优势：为小微企业运营过程中因为自然灾害、意外事故、新冠肺炎疫情等重大风险可能造成的各类损失提供综合保障。</w:t>
      </w:r>
    </w:p>
    <w:tbl>
      <w:tblPr>
        <w:tblStyle w:val="9"/>
        <w:tblW w:w="91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691"/>
        <w:gridCol w:w="3068"/>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68"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保障内容</w:t>
            </w:r>
          </w:p>
        </w:tc>
        <w:tc>
          <w:tcPr>
            <w:tcW w:w="1691"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保障项目</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基础版</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（方案保费含3个被保险人，不含存货）</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升级版</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（方案保费含3个被保险人，不含存货）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1691"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保险金额或赔偿限额（单位：元）</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保险金额或赔偿限额（单位：元）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财产基本险</w:t>
            </w:r>
          </w:p>
        </w:tc>
        <w:tc>
          <w:tcPr>
            <w:tcW w:w="1691"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保险财产（详见特别约定）</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268"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公众责任险</w:t>
            </w:r>
          </w:p>
        </w:tc>
        <w:tc>
          <w:tcPr>
            <w:tcW w:w="1691"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累计赔偿限额</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50,000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1691"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人身伤害/财产损失每人每次事故赔偿限额</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8"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团体人身意外伤害保险（2013版）</w:t>
            </w:r>
          </w:p>
        </w:tc>
        <w:tc>
          <w:tcPr>
            <w:tcW w:w="1691"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意外伤害身故或残疾每人赔偿限额</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50,000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1691"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被保险人姓名：</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被保险人身份证号：</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（备注：也可填写在附表中）</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被保险人姓名：</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被保险人身份证号：</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（备注：也可填写在附表中）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268"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附加团体意外伤害医疗保险（A款）</w:t>
            </w:r>
          </w:p>
        </w:tc>
        <w:tc>
          <w:tcPr>
            <w:tcW w:w="1691"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意外伤害医疗费用每人赔偿限额</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1691"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268"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附加团体特定传染病保险</w:t>
            </w:r>
          </w:p>
        </w:tc>
        <w:tc>
          <w:tcPr>
            <w:tcW w:w="1691"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特定传染病保险金每人</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1691"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1691" w:type="dxa"/>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特定传染病身故保险金每人</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268" w:type="dxa"/>
            <w:vMerge w:val="continue"/>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tc>
        <w:tc>
          <w:tcPr>
            <w:tcW w:w="1691" w:type="dxa"/>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被保险人同团体人身意外保险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2959" w:type="dxa"/>
            <w:gridSpan w:val="2"/>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方案选择</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959" w:type="dxa"/>
            <w:gridSpan w:val="2"/>
            <w:tcBorders>
              <w:bottom w:val="single" w:color="auto" w:sz="4" w:space="0"/>
            </w:tcBorders>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方案年保费</w:t>
            </w:r>
          </w:p>
        </w:tc>
        <w:tc>
          <w:tcPr>
            <w:tcW w:w="3068" w:type="dxa"/>
            <w:tcBorders>
              <w:bottom w:val="single" w:color="auto" w:sz="4" w:space="0"/>
            </w:tcBorders>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365元</w:t>
            </w:r>
          </w:p>
        </w:tc>
        <w:tc>
          <w:tcPr>
            <w:tcW w:w="3082" w:type="dxa"/>
            <w:tcBorders>
              <w:bottom w:val="single" w:color="auto" w:sz="4" w:space="0"/>
            </w:tcBorders>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666元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959" w:type="dxa"/>
            <w:gridSpan w:val="2"/>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财产基本险加保存货</w:t>
            </w:r>
          </w:p>
        </w:tc>
        <w:tc>
          <w:tcPr>
            <w:tcW w:w="3068"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10,000</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（加保存货，年保费300元）</w:t>
            </w:r>
          </w:p>
        </w:tc>
        <w:tc>
          <w:tcPr>
            <w:tcW w:w="3082" w:type="dxa"/>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20,000</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（加保存货，年保费600元）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959" w:type="dxa"/>
            <w:gridSpan w:val="2"/>
            <w:vMerge w:val="restart"/>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color w:val="000000"/>
                <w:sz w:val="32"/>
                <w:szCs w:val="32"/>
                <w:lang w:eastAsia="zh-CN"/>
              </w:rPr>
              <w:t>团体人身意外伤害保险加保人数</w:t>
            </w:r>
          </w:p>
        </w:tc>
        <w:tc>
          <w:tcPr>
            <w:tcW w:w="3068" w:type="dxa"/>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加保人数（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加保保费60元/人</w:t>
            </w:r>
          </w:p>
        </w:tc>
        <w:tc>
          <w:tcPr>
            <w:tcW w:w="3082" w:type="dxa"/>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加保人数（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加保保费100元/人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959" w:type="dxa"/>
            <w:gridSpan w:val="2"/>
            <w:vMerge w:val="continue"/>
            <w:vAlign w:val="top"/>
          </w:tcPr>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color w:val="000000"/>
                <w:sz w:val="32"/>
                <w:szCs w:val="32"/>
                <w:lang w:eastAsia="zh-CN"/>
              </w:rPr>
            </w:pPr>
          </w:p>
        </w:tc>
        <w:tc>
          <w:tcPr>
            <w:tcW w:w="3068" w:type="dxa"/>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被保险人名称：</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被保险人身份证号：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（备注：也可填写在附表中）</w:t>
            </w:r>
          </w:p>
        </w:tc>
        <w:tc>
          <w:tcPr>
            <w:tcW w:w="3082" w:type="dxa"/>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被保险人名称：</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被保险人身份证号：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（备注：也可填写在附表中）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68" w:type="dxa"/>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color w:val="000000"/>
                <w:sz w:val="32"/>
                <w:szCs w:val="32"/>
                <w:lang w:eastAsia="zh-CN"/>
              </w:rPr>
              <w:t>总保费</w:t>
            </w:r>
          </w:p>
        </w:tc>
        <w:tc>
          <w:tcPr>
            <w:tcW w:w="7841" w:type="dxa"/>
            <w:gridSpan w:val="3"/>
            <w:vAlign w:val="to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bCs/>
                <w:color w:val="000000"/>
                <w:sz w:val="32"/>
                <w:szCs w:val="32"/>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附表</w:t>
      </w:r>
    </w:p>
    <w:p>
      <w:pPr>
        <w:pStyle w:val="2"/>
        <w:numPr>
          <w:numId w:val="0"/>
        </w:numPr>
        <w:spacing w:line="560" w:lineRule="exact"/>
        <w:ind w:left="0" w:firstLine="0"/>
        <w:rPr>
          <w:rFonts w:hint="default" w:ascii="Calibri" w:hAnsi="Calibri" w:eastAsia="宋体" w:cs="Times New Roman"/>
          <w:b/>
          <w:bCs w:val="0"/>
          <w:sz w:val="32"/>
          <w:szCs w:val="20"/>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太平洋</w:t>
      </w:r>
      <w:r>
        <w:rPr>
          <w:rFonts w:hint="eastAsia" w:ascii="方正小标宋简体" w:hAnsi="方正小标宋简体" w:eastAsia="方正小标宋简体" w:cs="方正小标宋简体"/>
          <w:b w:val="0"/>
          <w:bCs w:val="0"/>
          <w:sz w:val="44"/>
          <w:szCs w:val="44"/>
        </w:rPr>
        <w:t>财险佛山分公司综合服务方案联络人</w:t>
      </w:r>
    </w:p>
    <w:p>
      <w:pPr>
        <w:pStyle w:val="2"/>
        <w:numPr>
          <w:numId w:val="0"/>
        </w:numPr>
        <w:spacing w:line="560" w:lineRule="exact"/>
        <w:ind w:left="0" w:firstLine="0"/>
        <w:rPr>
          <w:rFonts w:hint="default" w:ascii="Calibri" w:hAnsi="Calibri" w:eastAsia="宋体" w:cs="Times New Roman"/>
          <w:b/>
          <w:bCs w:val="0"/>
          <w:sz w:val="32"/>
          <w:szCs w:val="20"/>
        </w:rPr>
      </w:pPr>
    </w:p>
    <w:tbl>
      <w:tblPr>
        <w:tblStyle w:val="8"/>
        <w:tblW w:w="8100" w:type="dxa"/>
        <w:jc w:val="center"/>
        <w:tblInd w:w="-5" w:type="dxa"/>
        <w:tblLayout w:type="fixed"/>
        <w:tblCellMar>
          <w:top w:w="0" w:type="dxa"/>
          <w:left w:w="108" w:type="dxa"/>
          <w:bottom w:w="0" w:type="dxa"/>
          <w:right w:w="108" w:type="dxa"/>
        </w:tblCellMar>
      </w:tblPr>
      <w:tblGrid>
        <w:gridCol w:w="1751"/>
        <w:gridCol w:w="2628"/>
        <w:gridCol w:w="1695"/>
        <w:gridCol w:w="2026"/>
      </w:tblGrid>
      <w:tr>
        <w:tblPrEx>
          <w:tblLayout w:type="fixed"/>
          <w:tblCellMar>
            <w:top w:w="0" w:type="dxa"/>
            <w:left w:w="108" w:type="dxa"/>
            <w:bottom w:w="0" w:type="dxa"/>
            <w:right w:w="108" w:type="dxa"/>
          </w:tblCellMar>
        </w:tblPrEx>
        <w:trPr>
          <w:trHeight w:val="375" w:hRule="atLeast"/>
          <w:jc w:val="center"/>
        </w:trPr>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序号</w:t>
            </w:r>
          </w:p>
        </w:tc>
        <w:tc>
          <w:tcPr>
            <w:tcW w:w="2628"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方案产品</w:t>
            </w:r>
          </w:p>
        </w:tc>
        <w:tc>
          <w:tcPr>
            <w:tcW w:w="169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联系人</w:t>
            </w:r>
          </w:p>
        </w:tc>
        <w:tc>
          <w:tcPr>
            <w:tcW w:w="20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联系电话</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628" w:type="dxa"/>
            <w:tcBorders>
              <w:top w:val="nil"/>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履约保函产品</w:t>
            </w:r>
          </w:p>
        </w:tc>
        <w:tc>
          <w:tcPr>
            <w:tcW w:w="169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林穗莲</w:t>
            </w:r>
          </w:p>
        </w:tc>
        <w:tc>
          <w:tcPr>
            <w:tcW w:w="20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18665617936</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628" w:type="dxa"/>
            <w:tcBorders>
              <w:top w:val="nil"/>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复展保</w:t>
            </w:r>
          </w:p>
        </w:tc>
        <w:tc>
          <w:tcPr>
            <w:tcW w:w="169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杨博</w:t>
            </w:r>
          </w:p>
        </w:tc>
        <w:tc>
          <w:tcPr>
            <w:tcW w:w="20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18826409689</w:t>
            </w:r>
          </w:p>
        </w:tc>
      </w:tr>
      <w:tr>
        <w:tblPrEx>
          <w:tblLayout w:type="fixed"/>
          <w:tblCellMar>
            <w:top w:w="0" w:type="dxa"/>
            <w:left w:w="108" w:type="dxa"/>
            <w:bottom w:w="0" w:type="dxa"/>
            <w:right w:w="108" w:type="dxa"/>
          </w:tblCellMar>
        </w:tblPrEx>
        <w:trPr>
          <w:trHeight w:val="375" w:hRule="atLeast"/>
          <w:jc w:val="center"/>
        </w:trPr>
        <w:tc>
          <w:tcPr>
            <w:tcW w:w="175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p>
        </w:tc>
        <w:tc>
          <w:tcPr>
            <w:tcW w:w="2628" w:type="dxa"/>
            <w:tcBorders>
              <w:top w:val="nil"/>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商户保</w:t>
            </w:r>
            <w:r>
              <w:rPr>
                <w:rFonts w:hint="eastAsia" w:ascii="仿宋_GB2312" w:hAnsi="仿宋_GB2312" w:eastAsia="仿宋_GB2312" w:cs="仿宋_GB2312"/>
                <w:sz w:val="32"/>
                <w:szCs w:val="32"/>
                <w:lang w:val="en-US" w:eastAsia="zh-CN"/>
              </w:rPr>
              <w:t>3.0</w:t>
            </w:r>
          </w:p>
        </w:tc>
        <w:tc>
          <w:tcPr>
            <w:tcW w:w="169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潘宝莹</w:t>
            </w:r>
          </w:p>
        </w:tc>
        <w:tc>
          <w:tcPr>
            <w:tcW w:w="202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60" w:lineRule="exact"/>
              <w:ind w:lef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13670698481</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彩虹粗仿宋">
    <w:altName w:val="宋体"/>
    <w:panose1 w:val="03000509000000000000"/>
    <w:charset w:val="86"/>
    <w:family w:val="auto"/>
    <w:pitch w:val="default"/>
    <w:sig w:usb0="00000000" w:usb1="00000000" w:usb2="00000010" w:usb3="00000000" w:csb0="00040000" w:csb1="00000000"/>
  </w:font>
  <w:font w:name="彩虹楷体">
    <w:altName w:val="宋体"/>
    <w:panose1 w:val="03000509000000000000"/>
    <w:charset w:val="86"/>
    <w:family w:val="script"/>
    <w:pitch w:val="default"/>
    <w:sig w:usb0="00000000" w:usb1="00000000" w:usb2="00000010" w:usb3="00000000" w:csb0="00040000" w:csb1="00000000"/>
  </w:font>
  <w:font w:name="FangSong_GB2312">
    <w:altName w:val="仿宋_GB2312"/>
    <w:panose1 w:val="00000000000000000000"/>
    <w:charset w:val="86"/>
    <w:family w:val="modern"/>
    <w:pitch w:val="default"/>
    <w:sig w:usb0="00000000" w:usb1="00000000" w:usb2="00000016" w:usb3="00000000" w:csb0="00040001" w:csb1="00000000"/>
  </w:font>
  <w:font w:name="Helvetica">
    <w:altName w:val="Arial"/>
    <w:panose1 w:val="020B0504020202030204"/>
    <w:charset w:val="00"/>
    <w:family w:val="auto"/>
    <w:pitch w:val="default"/>
    <w:sig w:usb0="00000000" w:usb1="00000000" w:usb2="00000000" w:usb3="00000000" w:csb0="00000093" w:csb1="00000000"/>
  </w:font>
  <w:font w:name="创艺简标宋">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2">
    <w:panose1 w:val="050201020105070707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roadway">
    <w:panose1 w:val="04040905080B02020502"/>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4889500</wp:posOffset>
              </wp:positionH>
              <wp:positionV relativeFrom="paragraph">
                <wp:posOffset>-47625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5pt;margin-top:-3.75pt;height:144pt;width:144pt;mso-position-horizontal-relative:margin;mso-wrap-style:none;z-index:251660288;mso-width-relative:page;mso-height-relative:page;" filled="f" stroked="f" coordsize="21600,21600" o:gfxdata="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6WzeL2AAAAAwBAAAP&#10;AAAAAAAAAAEAIAAAACIAAABkcnMvZG93bnJldi54bWxQSwECFAAUAAAACACHTuJA9bobQ8MCAADW&#10;BQAADgAAAAAAAAABACAAAAAnAQAAZHJzL2Uyb0RvYy54bWxQSwUGAAAAAAYABgBZAQAAXAY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2"/>
                        <w:szCs w:val="22"/>
                        <w:lang w:eastAsia="zh-CN"/>
                      </w:rPr>
                      <w:fldChar w:fldCharType="begin"/>
                    </w:r>
                    <w:r>
                      <w:rPr>
                        <w:rFonts w:hint="eastAsia" w:asciiTheme="minorEastAsia" w:hAnsiTheme="minorEastAsia" w:eastAsiaTheme="minorEastAsia" w:cstheme="minorEastAsia"/>
                        <w:sz w:val="22"/>
                        <w:szCs w:val="22"/>
                        <w:lang w:eastAsia="zh-CN"/>
                      </w:rPr>
                      <w:instrText xml:space="preserve"> PAGE  \* MERGEFORMAT </w:instrText>
                    </w:r>
                    <w:r>
                      <w:rPr>
                        <w:rFonts w:hint="eastAsia" w:asciiTheme="minorEastAsia" w:hAnsiTheme="minorEastAsia" w:eastAsiaTheme="minorEastAsia" w:cstheme="minorEastAsia"/>
                        <w:sz w:val="22"/>
                        <w:szCs w:val="22"/>
                        <w:lang w:eastAsia="zh-CN"/>
                      </w:rPr>
                      <w:fldChar w:fldCharType="separate"/>
                    </w:r>
                    <w:r>
                      <w:rPr>
                        <w:rFonts w:hint="eastAsia" w:asciiTheme="minorEastAsia" w:hAnsiTheme="minorEastAsia" w:eastAsiaTheme="minorEastAsia" w:cstheme="minorEastAsia"/>
                        <w:sz w:val="22"/>
                        <w:szCs w:val="22"/>
                        <w:lang w:eastAsia="zh-CN"/>
                      </w:rPr>
                      <w:t>- 1 -</w:t>
                    </w:r>
                    <w:r>
                      <w:rPr>
                        <w:rFonts w:hint="eastAsia" w:asciiTheme="minorEastAsia" w:hAnsiTheme="minorEastAsia" w:eastAsiaTheme="minorEastAsia" w:cstheme="minor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05DEE"/>
    <w:multiLevelType w:val="multilevel"/>
    <w:tmpl w:val="75A05DEE"/>
    <w:lvl w:ilvl="0" w:tentative="0">
      <w:start w:val="1"/>
      <w:numFmt w:val="bullet"/>
      <w:lvlText w:val=""/>
      <w:lvlJc w:val="left"/>
      <w:pPr>
        <w:ind w:left="982" w:hanging="420"/>
      </w:pPr>
      <w:rPr>
        <w:rFonts w:hint="default" w:ascii="Wingdings" w:hAnsi="Wingdings"/>
      </w:rPr>
    </w:lvl>
    <w:lvl w:ilvl="1" w:tentative="0">
      <w:start w:val="1"/>
      <w:numFmt w:val="bullet"/>
      <w:lvlText w:val=""/>
      <w:lvlJc w:val="left"/>
      <w:pPr>
        <w:ind w:left="1402" w:hanging="420"/>
      </w:pPr>
      <w:rPr>
        <w:rFonts w:hint="default" w:ascii="Wingdings" w:hAnsi="Wingdings"/>
      </w:rPr>
    </w:lvl>
    <w:lvl w:ilvl="2" w:tentative="0">
      <w:start w:val="1"/>
      <w:numFmt w:val="bullet"/>
      <w:lvlText w:val=""/>
      <w:lvlJc w:val="left"/>
      <w:pPr>
        <w:ind w:left="1822" w:hanging="420"/>
      </w:pPr>
      <w:rPr>
        <w:rFonts w:hint="default" w:ascii="Wingdings" w:hAnsi="Wingdings"/>
      </w:rPr>
    </w:lvl>
    <w:lvl w:ilvl="3" w:tentative="0">
      <w:start w:val="1"/>
      <w:numFmt w:val="bullet"/>
      <w:lvlText w:val=""/>
      <w:lvlJc w:val="left"/>
      <w:pPr>
        <w:ind w:left="2242" w:hanging="420"/>
      </w:pPr>
      <w:rPr>
        <w:rFonts w:hint="default" w:ascii="Wingdings" w:hAnsi="Wingdings"/>
      </w:rPr>
    </w:lvl>
    <w:lvl w:ilvl="4" w:tentative="0">
      <w:start w:val="1"/>
      <w:numFmt w:val="bullet"/>
      <w:lvlText w:val=""/>
      <w:lvlJc w:val="left"/>
      <w:pPr>
        <w:ind w:left="2662" w:hanging="420"/>
      </w:pPr>
      <w:rPr>
        <w:rFonts w:hint="default" w:ascii="Wingdings" w:hAnsi="Wingdings"/>
      </w:rPr>
    </w:lvl>
    <w:lvl w:ilvl="5" w:tentative="0">
      <w:start w:val="1"/>
      <w:numFmt w:val="bullet"/>
      <w:lvlText w:val=""/>
      <w:lvlJc w:val="left"/>
      <w:pPr>
        <w:ind w:left="3082" w:hanging="420"/>
      </w:pPr>
      <w:rPr>
        <w:rFonts w:hint="default" w:ascii="Wingdings" w:hAnsi="Wingdings"/>
      </w:rPr>
    </w:lvl>
    <w:lvl w:ilvl="6" w:tentative="0">
      <w:start w:val="1"/>
      <w:numFmt w:val="bullet"/>
      <w:lvlText w:val=""/>
      <w:lvlJc w:val="left"/>
      <w:pPr>
        <w:ind w:left="3502" w:hanging="420"/>
      </w:pPr>
      <w:rPr>
        <w:rFonts w:hint="default" w:ascii="Wingdings" w:hAnsi="Wingdings"/>
      </w:rPr>
    </w:lvl>
    <w:lvl w:ilvl="7" w:tentative="0">
      <w:start w:val="1"/>
      <w:numFmt w:val="bullet"/>
      <w:lvlText w:val=""/>
      <w:lvlJc w:val="left"/>
      <w:pPr>
        <w:ind w:left="3922" w:hanging="420"/>
      </w:pPr>
      <w:rPr>
        <w:rFonts w:hint="default" w:ascii="Wingdings" w:hAnsi="Wingdings"/>
      </w:rPr>
    </w:lvl>
    <w:lvl w:ilvl="8" w:tentative="0">
      <w:start w:val="1"/>
      <w:numFmt w:val="bullet"/>
      <w:lvlText w:val=""/>
      <w:lvlJc w:val="left"/>
      <w:pPr>
        <w:ind w:left="4342" w:hanging="420"/>
      </w:pPr>
      <w:rPr>
        <w:rFonts w:hint="default" w:ascii="Wingdings" w:hAnsi="Wingdings"/>
      </w:rPr>
    </w:lvl>
  </w:abstractNum>
  <w:abstractNum w:abstractNumId="1">
    <w:nsid w:val="79B97F34"/>
    <w:multiLevelType w:val="multilevel"/>
    <w:tmpl w:val="79B97F34"/>
    <w:lvl w:ilvl="0" w:tentative="0">
      <w:start w:val="1"/>
      <w:numFmt w:val="decimal"/>
      <w:pStyle w:val="2"/>
      <w:lvlText w:val="%1."/>
      <w:lvlJc w:val="left"/>
      <w:pPr>
        <w:tabs>
          <w:tab w:val="left" w:pos="432"/>
        </w:tabs>
        <w:ind w:left="432" w:hanging="432"/>
      </w:pPr>
      <w:rPr>
        <w:rFonts w:hint="eastAsia"/>
      </w:rPr>
    </w:lvl>
    <w:lvl w:ilvl="1" w:tentative="0">
      <w:start w:val="1"/>
      <w:numFmt w:val="decimal"/>
      <w:lvlText w:val="%1.%2"/>
      <w:lvlJc w:val="left"/>
      <w:pPr>
        <w:tabs>
          <w:tab w:val="left" w:pos="432"/>
        </w:tabs>
        <w:ind w:left="432" w:hanging="432"/>
      </w:pPr>
      <w:rPr>
        <w:rFonts w:hint="eastAsia"/>
      </w:rPr>
    </w:lvl>
    <w:lvl w:ilvl="2" w:tentative="0">
      <w:start w:val="1"/>
      <w:numFmt w:val="decimal"/>
      <w:lvlText w:val="%1.%2.%3"/>
      <w:lvlJc w:val="left"/>
      <w:pPr>
        <w:tabs>
          <w:tab w:val="left" w:pos="720"/>
        </w:tabs>
        <w:ind w:left="432" w:hanging="432"/>
      </w:pPr>
      <w:rPr>
        <w:rFonts w:hint="eastAsia"/>
      </w:rPr>
    </w:lvl>
    <w:lvl w:ilvl="3" w:tentative="0">
      <w:start w:val="1"/>
      <w:numFmt w:val="decimal"/>
      <w:lvlText w:val="%1.%2.%3.%4"/>
      <w:lvlJc w:val="left"/>
      <w:pPr>
        <w:tabs>
          <w:tab w:val="left" w:pos="1080"/>
        </w:tabs>
        <w:ind w:left="432" w:hanging="432"/>
      </w:pPr>
      <w:rPr>
        <w:rFonts w:hint="eastAsia"/>
      </w:rPr>
    </w:lvl>
    <w:lvl w:ilvl="4" w:tentative="0">
      <w:start w:val="1"/>
      <w:numFmt w:val="decimal"/>
      <w:lvlText w:val="%1.%2.%3.%4.%5"/>
      <w:lvlJc w:val="left"/>
      <w:pPr>
        <w:tabs>
          <w:tab w:val="left" w:pos="1440"/>
        </w:tabs>
        <w:ind w:left="432" w:hanging="432"/>
      </w:pPr>
      <w:rPr>
        <w:rFonts w:hint="eastAsia"/>
      </w:rPr>
    </w:lvl>
    <w:lvl w:ilvl="5" w:tentative="0">
      <w:start w:val="1"/>
      <w:numFmt w:val="decimal"/>
      <w:lvlText w:val="%1.%2.%3.%4.%5.%6"/>
      <w:lvlJc w:val="left"/>
      <w:pPr>
        <w:tabs>
          <w:tab w:val="left" w:pos="1440"/>
        </w:tabs>
        <w:ind w:left="432" w:hanging="43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F0035"/>
    <w:rsid w:val="047F1FEE"/>
    <w:rsid w:val="187F6EC3"/>
    <w:rsid w:val="193D67D2"/>
    <w:rsid w:val="1A2F0035"/>
    <w:rsid w:val="219F7CA6"/>
    <w:rsid w:val="2CB66A16"/>
    <w:rsid w:val="2D030F56"/>
    <w:rsid w:val="2D162A4F"/>
    <w:rsid w:val="2F9543C7"/>
    <w:rsid w:val="38B8653E"/>
    <w:rsid w:val="462A096D"/>
    <w:rsid w:val="491641B0"/>
    <w:rsid w:val="4F6B4A85"/>
    <w:rsid w:val="54FB77B6"/>
    <w:rsid w:val="5D9B4F84"/>
    <w:rsid w:val="5E011C07"/>
    <w:rsid w:val="602E0BC8"/>
    <w:rsid w:val="68BF20C2"/>
    <w:rsid w:val="75D5106D"/>
    <w:rsid w:val="78326797"/>
    <w:rsid w:val="7F0668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120"/>
      <w:outlineLvl w:val="0"/>
    </w:pPr>
    <w:rPr>
      <w:b/>
      <w:kern w:val="44"/>
      <w:sz w:val="32"/>
      <w:szCs w:val="20"/>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before="137"/>
      <w:ind w:left="120" w:right="99" w:firstLine="640"/>
    </w:pPr>
    <w:rPr>
      <w:rFonts w:ascii="宋体" w:hAnsi="宋体" w:eastAsia="宋体" w:cs="宋体"/>
      <w:sz w:val="32"/>
      <w:szCs w:val="3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0"/>
    <w:pPr>
      <w:ind w:left="2547" w:right="1421" w:hanging="1991"/>
    </w:pPr>
    <w:rPr>
      <w:rFonts w:ascii="微软雅黑" w:hAnsi="微软雅黑" w:eastAsia="微软雅黑" w:cs="微软雅黑"/>
      <w:b/>
      <w:bCs/>
      <w:sz w:val="36"/>
      <w:szCs w:val="36"/>
      <w:lang w:val="en-US" w:eastAsia="zh-CN" w:bidi="ar-SA"/>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 New New New New New New New"/>
    <w:next w:val="11"/>
    <w:qFormat/>
    <w:uiPriority w:val="0"/>
    <w:pPr>
      <w:widowControl w:val="0"/>
      <w:jc w:val="both"/>
    </w:pPr>
    <w:rPr>
      <w:rFonts w:ascii="Calibri" w:hAnsi="Calibri" w:eastAsia="宋体" w:cs="Times New Roman"/>
      <w:kern w:val="2"/>
      <w:sz w:val="21"/>
      <w:szCs w:val="22"/>
      <w:lang w:val="en-US" w:eastAsia="zh-CN"/>
    </w:rPr>
  </w:style>
  <w:style w:type="paragraph" w:customStyle="1" w:styleId="11">
    <w:name w:val="Plain Text"/>
    <w:basedOn w:val="12"/>
    <w:qFormat/>
    <w:uiPriority w:val="0"/>
    <w:pPr>
      <w:ind w:firstLine="21" w:firstLineChars="200"/>
      <w:jc w:val="left"/>
    </w:pPr>
    <w:rPr>
      <w:rFonts w:ascii="宋体" w:hAnsi="Courier New"/>
      <w:szCs w:val="21"/>
    </w:rPr>
  </w:style>
  <w:style w:type="paragraph" w:customStyle="1" w:styleId="12">
    <w:name w:val="正文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3">
    <w:name w:val="正文 New New New"/>
    <w:qFormat/>
    <w:uiPriority w:val="0"/>
    <w:pPr>
      <w:widowControl w:val="0"/>
      <w:jc w:val="both"/>
    </w:pPr>
    <w:rPr>
      <w:rFonts w:ascii="Calibri" w:hAnsi="Calibri" w:eastAsia="宋体" w:cs="黑体"/>
      <w:kern w:val="2"/>
      <w:sz w:val="21"/>
      <w:szCs w:val="22"/>
      <w:lang w:val="en-US" w:eastAsia="zh-CN"/>
    </w:rPr>
  </w:style>
  <w:style w:type="paragraph" w:customStyle="1" w:styleId="14">
    <w:name w:val="Default"/>
    <w:qForma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15">
    <w:name w:val="正文 New New New New New New New New"/>
    <w:qFormat/>
    <w:uiPriority w:val="0"/>
    <w:pPr>
      <w:widowControl w:val="0"/>
      <w:jc w:val="both"/>
    </w:pPr>
    <w:rPr>
      <w:rFonts w:ascii="Times New Roman" w:hAnsi="Times New Roman" w:eastAsia="宋体" w:cs="Times New Roman"/>
      <w:kern w:val="2"/>
      <w:sz w:val="21"/>
      <w:szCs w:val="20"/>
      <w:lang w:val="en-US" w:eastAsia="zh-CN"/>
    </w:rPr>
  </w:style>
  <w:style w:type="paragraph" w:customStyle="1" w:styleId="16">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正文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2021-06-18T03:43:00Z</dcterms:created>
  <dc:creator>曾汉城</dc:creator>
  <cp:lastModifiedBy>曾汉城</cp:lastModifiedBy>
  <dcterms:modified xsi:type="dcterms:W3CDTF">2021-06-18T04:48:29Z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