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Lines="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spacing w:beforeLines="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人保财险</w:t>
      </w:r>
      <w:r>
        <w:rPr>
          <w:rFonts w:hint="eastAsia" w:ascii="方正小标宋简体" w:hAnsi="方正小标宋简体" w:eastAsia="方正小标宋简体" w:cs="方正小标宋简体"/>
          <w:b w:val="0"/>
          <w:bCs/>
          <w:sz w:val="44"/>
          <w:szCs w:val="44"/>
        </w:rPr>
        <w:t>佛山分公司支持企业平稳</w:t>
      </w:r>
    </w:p>
    <w:p>
      <w:pPr>
        <w:keepNext w:val="0"/>
        <w:keepLines w:val="0"/>
        <w:pageBreakBefore w:val="0"/>
        <w:widowControl w:val="0"/>
        <w:kinsoku/>
        <w:wordWrap/>
        <w:overflowPunct/>
        <w:topLinePunct w:val="0"/>
        <w:autoSpaceDE/>
        <w:autoSpaceDN/>
        <w:bidi w:val="0"/>
        <w:spacing w:beforeLines="0" w:afterLines="0" w:line="540" w:lineRule="exact"/>
        <w:ind w:left="0" w:leftChars="0" w:right="0" w:rightChars="0"/>
        <w:jc w:val="center"/>
        <w:textAlignment w:val="auto"/>
        <w:outlineLvl w:val="9"/>
        <w:rPr>
          <w:b/>
          <w:sz w:val="32"/>
        </w:rPr>
      </w:pPr>
      <w:r>
        <w:rPr>
          <w:rFonts w:hint="eastAsia" w:ascii="方正小标宋简体" w:hAnsi="方正小标宋简体" w:eastAsia="方正小标宋简体" w:cs="方正小标宋简体"/>
          <w:b w:val="0"/>
          <w:bCs/>
          <w:sz w:val="44"/>
          <w:szCs w:val="44"/>
        </w:rPr>
        <w:t>应对疫情综合服务方案</w:t>
      </w:r>
    </w:p>
    <w:p>
      <w:pPr>
        <w:keepNext w:val="0"/>
        <w:keepLines w:val="0"/>
        <w:pageBreakBefore w:val="0"/>
        <w:widowControl w:val="0"/>
        <w:kinsoku/>
        <w:wordWrap/>
        <w:overflowPunct/>
        <w:topLinePunct w:val="0"/>
        <w:autoSpaceDE/>
        <w:autoSpaceDN/>
        <w:bidi w:val="0"/>
        <w:spacing w:beforeLines="0" w:afterLines="0" w:line="540" w:lineRule="exact"/>
        <w:ind w:left="0" w:leftChars="0" w:right="0" w:rightChars="0"/>
        <w:jc w:val="center"/>
        <w:textAlignment w:val="auto"/>
        <w:outlineLvl w:val="9"/>
        <w:rPr>
          <w:sz w:val="32"/>
          <w:szCs w:val="32"/>
        </w:rPr>
      </w:pP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一、公司介绍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55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保财险为“世界500强”中国人民保险集团股份有限公司（PICC）的核心成员和标志性主业。在车辆保险、三农保险、巨灾保险、普惠金融和扶贫支农等主营业务方面不断取得突破，承保领域不断拓宽，涉及社会生产和人民生活的各个领域。</w:t>
      </w:r>
    </w:p>
    <w:p>
      <w:pPr>
        <w:keepNext w:val="0"/>
        <w:keepLines w:val="0"/>
        <w:pageBreakBefore w:val="0"/>
        <w:kinsoku/>
        <w:wordWrap/>
        <w:overflowPunct/>
        <w:topLinePunct w:val="0"/>
        <w:autoSpaceDE/>
        <w:autoSpaceDN/>
        <w:bidi w:val="0"/>
        <w:adjustRightInd w:val="0"/>
        <w:snapToGrid w:val="0"/>
        <w:spacing w:line="540" w:lineRule="exact"/>
        <w:ind w:left="0"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新冠病毒疫情影响，为贯彻落实金融支持“六稳”“六保”的重要精神和工作要求，人保财险佛山市分公司积极担当社会责任，落实金融助力企业复工复产工作，积极开展支持稳企业、保就业的相关工作，助力受疫情影响的企业渡过难关。</w:t>
      </w:r>
    </w:p>
    <w:p>
      <w:pPr>
        <w:keepNext w:val="0"/>
        <w:keepLines w:val="0"/>
        <w:pageBreakBefore w:val="0"/>
        <w:kinsoku/>
        <w:wordWrap/>
        <w:overflowPunct/>
        <w:topLinePunct w:val="0"/>
        <w:autoSpaceDE/>
        <w:autoSpaceDN/>
        <w:bidi w:val="0"/>
        <w:spacing w:line="540" w:lineRule="exact"/>
        <w:ind w:left="0"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二、保险服务方案目录</w:t>
      </w: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496"/>
        <w:gridCol w:w="4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方案产品</w:t>
            </w:r>
          </w:p>
        </w:tc>
        <w:tc>
          <w:tcPr>
            <w:tcW w:w="4847"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产品功能简介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履约保函产品</w:t>
            </w:r>
          </w:p>
        </w:tc>
        <w:tc>
          <w:tcPr>
            <w:tcW w:w="4847" w:type="dxa"/>
            <w:vAlign w:val="top"/>
          </w:tcPr>
          <w:p>
            <w:pPr>
              <w:keepNext w:val="0"/>
              <w:keepLines w:val="0"/>
              <w:pageBreakBefore w:val="0"/>
              <w:kinsoku/>
              <w:wordWrap/>
              <w:overflowPunct/>
              <w:topLinePunct w:val="0"/>
              <w:autoSpaceDE/>
              <w:autoSpaceDN/>
              <w:bidi w:val="0"/>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减少资金占用，盘活企业资金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企业融资产品</w:t>
            </w:r>
          </w:p>
        </w:tc>
        <w:tc>
          <w:tcPr>
            <w:tcW w:w="4847" w:type="dxa"/>
            <w:vAlign w:val="top"/>
          </w:tcPr>
          <w:p>
            <w:pPr>
              <w:keepNext w:val="0"/>
              <w:keepLines w:val="0"/>
              <w:pageBreakBefore w:val="0"/>
              <w:kinsoku/>
              <w:wordWrap/>
              <w:overflowPunct/>
              <w:topLinePunct w:val="0"/>
              <w:autoSpaceDE/>
              <w:autoSpaceDN/>
              <w:bidi w:val="0"/>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无抵押，解决融资难问题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应收保障产品</w:t>
            </w:r>
          </w:p>
        </w:tc>
        <w:tc>
          <w:tcPr>
            <w:tcW w:w="4847" w:type="dxa"/>
            <w:vAlign w:val="top"/>
          </w:tcPr>
          <w:p>
            <w:pPr>
              <w:keepNext w:val="0"/>
              <w:keepLines w:val="0"/>
              <w:pageBreakBefore w:val="0"/>
              <w:kinsoku/>
              <w:wordWrap/>
              <w:overflowPunct/>
              <w:topLinePunct w:val="0"/>
              <w:autoSpaceDE/>
              <w:autoSpaceDN/>
              <w:bidi w:val="0"/>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保障出口企业的应收账款回收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专利保障产品</w:t>
            </w:r>
          </w:p>
        </w:tc>
        <w:tc>
          <w:tcPr>
            <w:tcW w:w="4847" w:type="dxa"/>
            <w:vAlign w:val="top"/>
          </w:tcPr>
          <w:p>
            <w:pPr>
              <w:keepNext w:val="0"/>
              <w:keepLines w:val="0"/>
              <w:pageBreakBefore w:val="0"/>
              <w:kinsoku/>
              <w:wordWrap/>
              <w:overflowPunct/>
              <w:topLinePunct w:val="0"/>
              <w:autoSpaceDE/>
              <w:autoSpaceDN/>
              <w:bidi w:val="0"/>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助力企业知识产权保护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经营保障产品</w:t>
            </w:r>
          </w:p>
        </w:tc>
        <w:tc>
          <w:tcPr>
            <w:tcW w:w="4847" w:type="dxa"/>
            <w:vAlign w:val="top"/>
          </w:tcPr>
          <w:p>
            <w:pPr>
              <w:keepNext w:val="0"/>
              <w:keepLines w:val="0"/>
              <w:pageBreakBefore w:val="0"/>
              <w:kinsoku/>
              <w:wordWrap/>
              <w:overflowPunct/>
              <w:topLinePunct w:val="0"/>
              <w:autoSpaceDE/>
              <w:autoSpaceDN/>
              <w:bidi w:val="0"/>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保障企业经营的全方位风险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496"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设备研发保障产品</w:t>
            </w:r>
          </w:p>
        </w:tc>
        <w:tc>
          <w:tcPr>
            <w:tcW w:w="4847" w:type="dxa"/>
            <w:vAlign w:val="top"/>
          </w:tcPr>
          <w:p>
            <w:pPr>
              <w:keepNext w:val="0"/>
              <w:keepLines w:val="0"/>
              <w:pageBreakBefore w:val="0"/>
              <w:kinsoku/>
              <w:wordWrap/>
              <w:overflowPunct/>
              <w:topLinePunct w:val="0"/>
              <w:autoSpaceDE/>
              <w:autoSpaceDN/>
              <w:bidi w:val="0"/>
              <w:spacing w:line="560" w:lineRule="exac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保障装备制造企业核心关键技术攻关</w:t>
            </w:r>
          </w:p>
        </w:tc>
      </w:tr>
    </w:tbl>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三、保险服务方案</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楷体" w:hAnsi="楷体" w:eastAsia="楷体" w:cs="楷体"/>
          <w:b w:val="0"/>
          <w:bCs w:val="0"/>
          <w:sz w:val="32"/>
          <w:szCs w:val="32"/>
          <w:lang w:eastAsia="zh-CN"/>
        </w:rPr>
      </w:pPr>
      <w:r>
        <w:rPr>
          <w:rFonts w:hint="eastAsia" w:ascii="楷体_GB2312" w:hAnsi="楷体_GB2312" w:eastAsia="楷体_GB2312" w:cs="楷体_GB2312"/>
          <w:b w:val="0"/>
          <w:bCs w:val="0"/>
          <w:sz w:val="32"/>
          <w:szCs w:val="32"/>
        </w:rPr>
        <w:t>（一）履约保函产品，降低企业成本，盘活企业资金</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凡参加建筑工程项目，从项目招标到项目完工，企业需要缴纳一定的保证金，如招标保证金、工人工资保证金、完工履约保证金、工程质量保证金等，并且这些保证金少则会冻结资金30至90天，多则被冻结超3年，严重挤占建筑企业的资金、降低企业资金流。佛山人保为建筑企业提供保函服务，既不占压企业资金，也不占用企业的银行授信额度，以更低成本释放建筑企业沉淀资金，为建筑企业减轻资金压力，降低资金成本，盘活企业资金。</w:t>
      </w:r>
    </w:p>
    <w:p>
      <w:pPr>
        <w:keepNext w:val="0"/>
        <w:keepLines w:val="0"/>
        <w:pageBreakBefore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完工履约保函：</w:t>
      </w:r>
      <w:r>
        <w:rPr>
          <w:rFonts w:hint="eastAsia" w:ascii="仿宋_GB2312" w:hAnsi="仿宋_GB2312" w:eastAsia="仿宋_GB2312" w:cs="仿宋_GB2312"/>
          <w:sz w:val="32"/>
          <w:szCs w:val="32"/>
        </w:rPr>
        <w:t>指由保险机构为施工单位向建设单位提供的、保证施工单位履行工程建设合同约定义务的担保，承保费率根据工程的类型、工程造价、工程期限等因素调整，承保费率在0.5%-2%之间。</w:t>
      </w:r>
    </w:p>
    <w:p>
      <w:pPr>
        <w:keepNext w:val="0"/>
        <w:keepLines w:val="0"/>
        <w:pageBreakBefore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工人工资保函：</w:t>
      </w:r>
      <w:r>
        <w:rPr>
          <w:rFonts w:hint="eastAsia" w:ascii="仿宋_GB2312" w:hAnsi="仿宋_GB2312" w:eastAsia="仿宋_GB2312" w:cs="仿宋_GB2312"/>
          <w:sz w:val="32"/>
          <w:szCs w:val="32"/>
        </w:rPr>
        <w:t xml:space="preserve">指由保险机构为施工单位向行政主管部门提供的保证施工单位履行支付农民工工资义务的担保，承保费率根据工程的类型、工程造价、工程期限等因素调整，承保费率在1.5%-2.5%之间。    </w:t>
      </w:r>
    </w:p>
    <w:p>
      <w:pPr>
        <w:keepNext w:val="0"/>
        <w:keepLines w:val="0"/>
        <w:pageBreakBefore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招标保函：</w:t>
      </w:r>
      <w:r>
        <w:rPr>
          <w:rFonts w:hint="eastAsia" w:ascii="仿宋_GB2312" w:hAnsi="仿宋_GB2312" w:eastAsia="仿宋_GB2312" w:cs="仿宋_GB2312"/>
          <w:sz w:val="32"/>
          <w:szCs w:val="32"/>
        </w:rPr>
        <w:t>指由保险机构为投标人向招标人提供的、保证投标人按照招标文件的规定参加招标活动的担保，承保费率根据工程的类型、工程造价、工程期限等因素调整，承保费率在0.5‰-1.5‰之间。</w:t>
      </w:r>
    </w:p>
    <w:p>
      <w:pPr>
        <w:keepNext w:val="0"/>
        <w:keepLines w:val="0"/>
        <w:pageBreakBefore w:val="0"/>
        <w:kinsoku/>
        <w:wordWrap/>
        <w:overflowPunct/>
        <w:topLinePunct w:val="0"/>
        <w:autoSpaceDE/>
        <w:autoSpaceDN/>
        <w:bidi w:val="0"/>
        <w:spacing w:line="560" w:lineRule="exact"/>
        <w:ind w:lef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工程质量保函：</w:t>
      </w:r>
      <w:r>
        <w:rPr>
          <w:rFonts w:hint="eastAsia" w:ascii="仿宋_GB2312" w:hAnsi="仿宋_GB2312" w:eastAsia="仿宋_GB2312" w:cs="仿宋_GB2312"/>
          <w:sz w:val="32"/>
          <w:szCs w:val="32"/>
        </w:rPr>
        <w:t>由保险机构为施工单位向建设单位提供的，保证施工单位履行工程质量保修约定义务，在缺陷责任期内对建设工程出现的缺陷进行维修的担保，承保费率根据工程的类型、工程造价、工程期限等因素调整，承保费率在1%-3%之间。</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楷体" w:cs="仿宋_GB2312"/>
          <w:b/>
          <w:bCs/>
          <w:sz w:val="32"/>
          <w:szCs w:val="32"/>
          <w:lang w:eastAsia="zh-CN"/>
        </w:rPr>
      </w:pPr>
      <w:r>
        <w:rPr>
          <w:rFonts w:hint="eastAsia" w:ascii="楷体_GB2312" w:hAnsi="楷体_GB2312" w:eastAsia="楷体_GB2312" w:cs="楷体_GB2312"/>
          <w:b w:val="0"/>
          <w:bCs w:val="0"/>
          <w:sz w:val="32"/>
          <w:szCs w:val="32"/>
        </w:rPr>
        <w:t>（二）企业融资产品，解决融资难问题</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中小企业、个体工商户：依托佛山市金融工作局联合佛山人保开展的《中小企业贷款保证保险》项目，为重点项目涉及的企业提供融资增信服务，由企业向保险公司投保该产品，银行以此作为主要担保方式向企业发放小额短期流动资金贷款，在借款人未按约偿还贷款时保险公司向银行承担贷款损失赔偿责任。只要在佛山注册满一年的企业均可进行申请，首次申请最高额度为300万元，利率低于市场贷且最快1天内放款。在防疫期间，更好地解决中小企业融资难、融资慢的问题，形成企业能贷，银行敢放，保险敢保的良好局面。</w:t>
      </w:r>
    </w:p>
    <w:p>
      <w:pPr>
        <w:keepNext w:val="0"/>
        <w:keepLines w:val="0"/>
        <w:pageBreakBefore w:val="0"/>
        <w:kinsoku/>
        <w:wordWrap/>
        <w:overflowPunct/>
        <w:topLinePunct w:val="0"/>
        <w:autoSpaceDE/>
        <w:autoSpaceDN/>
        <w:bidi w:val="0"/>
        <w:adjustRightInd w:val="0"/>
        <w:snapToGrid w:val="0"/>
        <w:spacing w:line="560" w:lineRule="exact"/>
        <w:ind w:left="0" w:firstLine="55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涉农企业及农户：由我司与各区农业农村局、各家银行开展的“政银保”合作农业贷款项目，多年来为佛山市内的个体农户、农村集体经济组织、家庭农场、农民合作社、涉农企业提供多次融资增信服务。农户在我司投保政银保个人贷款保证保险或政银保中小企业贷款保证保险，即可在合作银行内获得比同类型产品利息更低的贷款。贷款准入门槛低，审批通过率高，</w:t>
      </w:r>
      <w:r>
        <w:rPr>
          <w:rFonts w:hint="eastAsia" w:ascii="仿宋_GB2312" w:hAnsi="仿宋_GB2312" w:eastAsia="仿宋_GB2312" w:cs="仿宋_GB2312"/>
          <w:b/>
          <w:bCs/>
          <w:sz w:val="32"/>
          <w:szCs w:val="32"/>
        </w:rPr>
        <w:t>保费均由政府全额补贴，无需个人或企业先行垫付，进一步降低了借款人的融资成本。</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（三）应收保障产品，解决回款难问题</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应收账款是企业流动资产的重要组成部分，安全性关系到企业正常经营。借助于贸易信用险，可有效保障企业回收安全。同时，该产品转变了企业通过抵押、担保等方式规避赊销坏账损失的传统做法，</w:t>
      </w:r>
      <w:r>
        <w:rPr>
          <w:rFonts w:hint="eastAsia" w:ascii="仿宋_GB2312" w:hAnsi="仿宋_GB2312" w:eastAsia="仿宋_GB2312" w:cs="仿宋_GB2312"/>
          <w:b/>
          <w:bCs/>
          <w:sz w:val="32"/>
          <w:szCs w:val="32"/>
        </w:rPr>
        <w:t>保险机构通过采取买家评估、资信管理、应收账款管理等科学管理手段可有效提高企业风险管理水平，最终实现企业的财务损失有效规避，保持企业稳健经营。</w:t>
      </w:r>
    </w:p>
    <w:p>
      <w:pPr>
        <w:keepNext w:val="0"/>
        <w:keepLines w:val="0"/>
        <w:pageBreakBefore w:val="0"/>
        <w:kinsoku/>
        <w:wordWrap/>
        <w:overflowPunct/>
        <w:topLinePunct w:val="0"/>
        <w:autoSpaceDE/>
        <w:autoSpaceDN/>
        <w:bidi w:val="0"/>
        <w:spacing w:line="560" w:lineRule="exact"/>
        <w:ind w:lef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国内短期贸易信用险：</w:t>
      </w:r>
      <w:r>
        <w:rPr>
          <w:rFonts w:hint="eastAsia" w:ascii="仿宋_GB2312" w:hAnsi="仿宋_GB2312" w:eastAsia="仿宋_GB2312" w:cs="仿宋_GB2312"/>
          <w:bCs/>
          <w:sz w:val="32"/>
          <w:szCs w:val="32"/>
        </w:rPr>
        <w:t>主要是企业在采用赊销方式销售商品或提供服务时，对于因买方破产或拖欠造成的应收账款损失，由保险机构按照约定的条件承担经济赔偿。</w:t>
      </w:r>
    </w:p>
    <w:p>
      <w:pPr>
        <w:keepNext w:val="0"/>
        <w:keepLines w:val="0"/>
        <w:pageBreakBefore w:val="0"/>
        <w:kinsoku/>
        <w:wordWrap/>
        <w:overflowPunct/>
        <w:topLinePunct w:val="0"/>
        <w:autoSpaceDE/>
        <w:autoSpaceDN/>
        <w:bidi w:val="0"/>
        <w:spacing w:line="560" w:lineRule="exact"/>
        <w:ind w:left="0" w:firstLine="643" w:firstLineChars="20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短期出口贸易信用险：</w:t>
      </w:r>
      <w:r>
        <w:rPr>
          <w:rFonts w:hint="eastAsia" w:ascii="仿宋_GB2312" w:hAnsi="仿宋_GB2312" w:eastAsia="仿宋_GB2312" w:cs="仿宋_GB2312"/>
          <w:bCs/>
          <w:sz w:val="32"/>
          <w:szCs w:val="32"/>
        </w:rPr>
        <w:t>保障出口企业对于信用期限在 1 年以内的以信用证（L/C）、付款交单（D/P ）、承兑交单（D/A ）、赊账（OA ）等结算方式自中华人民共和国境内出口或转口贸易的收汇风险。</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楷体" w:cs="仿宋_GB2312"/>
          <w:b/>
          <w:sz w:val="32"/>
          <w:szCs w:val="32"/>
          <w:lang w:eastAsia="zh-CN"/>
        </w:rPr>
      </w:pPr>
      <w:r>
        <w:rPr>
          <w:rFonts w:hint="eastAsia" w:ascii="楷体_GB2312" w:hAnsi="楷体_GB2312" w:eastAsia="楷体_GB2312" w:cs="楷体_GB2312"/>
          <w:b w:val="0"/>
          <w:bCs w:val="0"/>
          <w:sz w:val="32"/>
          <w:szCs w:val="32"/>
        </w:rPr>
        <w:t>（四）专利保障产品，助力企业知识产权保护</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人保为装备制造业定制专属知识产权保险方案，激发装备制造企业的创新发明积极性，此外能够让本地装备制造企业大胆创新，没有维权、侵权等后顾之忧，从而创作更多高质量、社会效益和经济效益显著的先进设备。</w:t>
      </w:r>
    </w:p>
    <w:p>
      <w:pPr>
        <w:pStyle w:val="16"/>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保障内容</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装备企业就其受到侵犯的专利权向法院提起诉讼请求、或向仲裁机构提出仲裁请求、或向管理专利工作的部门提出处理请求，该请求被立案或受理的，对于企业在立案或受理前发生的必要的、合理的调查费（包括公证费、交通费、住宿费、伙食补助费）及法律费，保险人按照合同约定赔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收费方案</w:t>
      </w:r>
    </w:p>
    <w:tbl>
      <w:tblPr>
        <w:tblStyle w:val="6"/>
        <w:tblW w:w="8917" w:type="dxa"/>
        <w:tblInd w:w="-5" w:type="dxa"/>
        <w:tblLayout w:type="fixed"/>
        <w:tblCellMar>
          <w:top w:w="0" w:type="dxa"/>
          <w:left w:w="108" w:type="dxa"/>
          <w:bottom w:w="0" w:type="dxa"/>
          <w:right w:w="108" w:type="dxa"/>
        </w:tblCellMar>
      </w:tblPr>
      <w:tblGrid>
        <w:gridCol w:w="4089"/>
        <w:gridCol w:w="4828"/>
      </w:tblGrid>
      <w:tr>
        <w:tblPrEx>
          <w:tblLayout w:type="fixed"/>
          <w:tblCellMar>
            <w:top w:w="0" w:type="dxa"/>
            <w:left w:w="108" w:type="dxa"/>
            <w:bottom w:w="0" w:type="dxa"/>
            <w:right w:w="108" w:type="dxa"/>
          </w:tblCellMar>
        </w:tblPrEx>
        <w:trPr>
          <w:trHeight w:val="261" w:hRule="atLeast"/>
        </w:trPr>
        <w:tc>
          <w:tcPr>
            <w:tcW w:w="4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赔偿项目</w:t>
            </w:r>
          </w:p>
        </w:tc>
        <w:tc>
          <w:tcPr>
            <w:tcW w:w="48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赔偿限额（元）</w:t>
            </w:r>
          </w:p>
        </w:tc>
      </w:tr>
      <w:tr>
        <w:tblPrEx>
          <w:tblLayout w:type="fixed"/>
          <w:tblCellMar>
            <w:top w:w="0" w:type="dxa"/>
            <w:left w:w="108" w:type="dxa"/>
            <w:bottom w:w="0" w:type="dxa"/>
            <w:right w:w="108" w:type="dxa"/>
          </w:tblCellMar>
        </w:tblPrEx>
        <w:trPr>
          <w:trHeight w:val="261" w:hRule="atLeast"/>
        </w:trPr>
        <w:tc>
          <w:tcPr>
            <w:tcW w:w="40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调查费用</w:t>
            </w:r>
          </w:p>
        </w:tc>
        <w:tc>
          <w:tcPr>
            <w:tcW w:w="4828"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保单累计赔偿限额为10万，每件专利赔偿限额为10万</w:t>
            </w:r>
          </w:p>
        </w:tc>
      </w:tr>
      <w:tr>
        <w:tblPrEx>
          <w:tblLayout w:type="fixed"/>
          <w:tblCellMar>
            <w:top w:w="0" w:type="dxa"/>
            <w:left w:w="108" w:type="dxa"/>
            <w:bottom w:w="0" w:type="dxa"/>
            <w:right w:w="108" w:type="dxa"/>
          </w:tblCellMar>
        </w:tblPrEx>
        <w:trPr>
          <w:trHeight w:val="261" w:hRule="atLeast"/>
        </w:trPr>
        <w:tc>
          <w:tcPr>
            <w:tcW w:w="40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法律费用</w:t>
            </w:r>
          </w:p>
        </w:tc>
        <w:tc>
          <w:tcPr>
            <w:tcW w:w="482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left"/>
              <w:textAlignment w:val="auto"/>
              <w:rPr>
                <w:rFonts w:hint="eastAsia" w:ascii="仿宋_GB2312" w:hAnsi="仿宋_GB2312" w:eastAsia="仿宋_GB2312" w:cs="仿宋_GB2312"/>
                <w:color w:val="000000"/>
                <w:kern w:val="0"/>
                <w:sz w:val="32"/>
                <w:szCs w:val="32"/>
              </w:rPr>
            </w:pPr>
          </w:p>
        </w:tc>
      </w:tr>
      <w:tr>
        <w:tblPrEx>
          <w:tblLayout w:type="fixed"/>
          <w:tblCellMar>
            <w:top w:w="0" w:type="dxa"/>
            <w:left w:w="108" w:type="dxa"/>
            <w:bottom w:w="0" w:type="dxa"/>
            <w:right w:w="108" w:type="dxa"/>
          </w:tblCellMar>
        </w:tblPrEx>
        <w:trPr>
          <w:trHeight w:val="523" w:hRule="atLeast"/>
        </w:trPr>
        <w:tc>
          <w:tcPr>
            <w:tcW w:w="408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每件专利保费</w:t>
            </w:r>
          </w:p>
        </w:tc>
        <w:tc>
          <w:tcPr>
            <w:tcW w:w="48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2000元                  </w:t>
            </w:r>
          </w:p>
        </w:tc>
      </w:tr>
    </w:tbl>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市级补贴50%保费，其中禅城区政府对禅城区企业额外补贴50%保费，即禅城区企业投保的话，保费100%由政府补贴。</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sz w:val="32"/>
          <w:szCs w:val="32"/>
          <w:lang w:val="en-US" w:eastAsia="zh-CN"/>
        </w:rPr>
      </w:pPr>
      <w:r>
        <w:rPr>
          <w:rFonts w:hint="eastAsia" w:ascii="楷体_GB2312" w:hAnsi="楷体_GB2312" w:eastAsia="楷体_GB2312" w:cs="楷体_GB2312"/>
          <w:b w:val="0"/>
          <w:bCs w:val="0"/>
          <w:sz w:val="32"/>
          <w:szCs w:val="32"/>
        </w:rPr>
        <w:t>（五）经营保障产品，为企业经营者提供全方位风险保障</w:t>
      </w:r>
    </w:p>
    <w:p>
      <w:pPr>
        <w:keepNext w:val="0"/>
        <w:keepLines w:val="0"/>
        <w:pageBreakBefore w:val="0"/>
        <w:kinsoku/>
        <w:wordWrap/>
        <w:overflowPunct/>
        <w:topLinePunct w:val="0"/>
        <w:autoSpaceDE/>
        <w:autoSpaceDN/>
        <w:bidi w:val="0"/>
        <w:spacing w:line="560" w:lineRule="exact"/>
        <w:ind w:leftChars="4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餐饮经营者综合保险</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障内容：起源于经营场所的火灾和爆炸造成的第三者损害；对经营场所及相关设施维修、维护不当造成的第三者损害；经营场所自身的缺陷造成第三者损害；被保险人雇员的过失造成的第三者的损害；食品造成第三者的人身损害；</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（2）收费方案</w:t>
      </w:r>
    </w:p>
    <w:tbl>
      <w:tblPr>
        <w:tblStyle w:val="6"/>
        <w:tblW w:w="9209" w:type="dxa"/>
        <w:tblInd w:w="0" w:type="dxa"/>
        <w:tblLayout w:type="fixed"/>
        <w:tblCellMar>
          <w:top w:w="0" w:type="dxa"/>
          <w:left w:w="108" w:type="dxa"/>
          <w:bottom w:w="0" w:type="dxa"/>
          <w:right w:w="108" w:type="dxa"/>
        </w:tblCellMar>
      </w:tblPr>
      <w:tblGrid>
        <w:gridCol w:w="999"/>
        <w:gridCol w:w="4110"/>
        <w:gridCol w:w="1123"/>
        <w:gridCol w:w="1418"/>
        <w:gridCol w:w="1559"/>
      </w:tblGrid>
      <w:tr>
        <w:tblPrEx>
          <w:tblLayout w:type="fixed"/>
          <w:tblCellMar>
            <w:top w:w="0" w:type="dxa"/>
            <w:left w:w="108" w:type="dxa"/>
            <w:bottom w:w="0" w:type="dxa"/>
            <w:right w:w="108" w:type="dxa"/>
          </w:tblCellMar>
        </w:tblPrEx>
        <w:trPr>
          <w:trHeight w:val="575" w:hRule="atLeast"/>
        </w:trPr>
        <w:tc>
          <w:tcPr>
            <w:tcW w:w="9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保险方案</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赔偿限额</w:t>
            </w:r>
          </w:p>
        </w:tc>
        <w:tc>
          <w:tcPr>
            <w:tcW w:w="4100"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经营面积m²</w:t>
            </w:r>
          </w:p>
        </w:tc>
      </w:tr>
      <w:tr>
        <w:tblPrEx>
          <w:tblLayout w:type="fixed"/>
          <w:tblCellMar>
            <w:top w:w="0" w:type="dxa"/>
            <w:left w:w="108" w:type="dxa"/>
            <w:bottom w:w="0" w:type="dxa"/>
            <w:right w:w="108" w:type="dxa"/>
          </w:tblCellMar>
        </w:tblPrEx>
        <w:trPr>
          <w:trHeight w:val="629" w:hRule="atLeast"/>
        </w:trPr>
        <w:tc>
          <w:tcPr>
            <w:tcW w:w="9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left"/>
              <w:textAlignment w:val="auto"/>
              <w:rPr>
                <w:rFonts w:hint="eastAsia" w:ascii="仿宋_GB2312" w:hAnsi="仿宋_GB2312" w:eastAsia="仿宋_GB2312" w:cs="仿宋_GB2312"/>
                <w:color w:val="000000"/>
                <w:kern w:val="0"/>
                <w:sz w:val="32"/>
                <w:szCs w:val="3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left"/>
              <w:textAlignment w:val="auto"/>
              <w:rPr>
                <w:rFonts w:hint="eastAsia" w:ascii="仿宋_GB2312" w:hAnsi="仿宋_GB2312" w:eastAsia="仿宋_GB2312" w:cs="仿宋_GB2312"/>
                <w:color w:val="000000"/>
                <w:kern w:val="0"/>
                <w:sz w:val="32"/>
                <w:szCs w:val="32"/>
              </w:rPr>
            </w:pPr>
          </w:p>
        </w:tc>
        <w:tc>
          <w:tcPr>
            <w:tcW w:w="11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0-500</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500-2000</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2000以上</w:t>
            </w:r>
          </w:p>
        </w:tc>
      </w:tr>
      <w:tr>
        <w:tblPrEx>
          <w:tblLayout w:type="fixed"/>
          <w:tblCellMar>
            <w:top w:w="0" w:type="dxa"/>
            <w:left w:w="108" w:type="dxa"/>
            <w:bottom w:w="0" w:type="dxa"/>
            <w:right w:w="108" w:type="dxa"/>
          </w:tblCellMar>
        </w:tblPrEx>
        <w:trPr>
          <w:trHeight w:val="791" w:hRule="atLeast"/>
        </w:trPr>
        <w:tc>
          <w:tcPr>
            <w:tcW w:w="99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方案一</w:t>
            </w:r>
          </w:p>
        </w:tc>
        <w:tc>
          <w:tcPr>
            <w:tcW w:w="4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累计100万，每人每次10万，其中医疗费用每人每次限额1万</w:t>
            </w:r>
          </w:p>
        </w:tc>
        <w:tc>
          <w:tcPr>
            <w:tcW w:w="11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1350元</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2000元</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3500元</w:t>
            </w:r>
          </w:p>
        </w:tc>
      </w:tr>
      <w:tr>
        <w:tblPrEx>
          <w:tblLayout w:type="fixed"/>
          <w:tblCellMar>
            <w:top w:w="0" w:type="dxa"/>
            <w:left w:w="108" w:type="dxa"/>
            <w:bottom w:w="0" w:type="dxa"/>
            <w:right w:w="108" w:type="dxa"/>
          </w:tblCellMar>
        </w:tblPrEx>
        <w:trPr>
          <w:trHeight w:val="791" w:hRule="atLeast"/>
        </w:trPr>
        <w:tc>
          <w:tcPr>
            <w:tcW w:w="99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方案二</w:t>
            </w:r>
          </w:p>
        </w:tc>
        <w:tc>
          <w:tcPr>
            <w:tcW w:w="41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累计300万，每人每次15万，其中医疗费用每人每次限额1万</w:t>
            </w:r>
          </w:p>
        </w:tc>
        <w:tc>
          <w:tcPr>
            <w:tcW w:w="112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1800元</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2500元</w:t>
            </w:r>
          </w:p>
        </w:tc>
        <w:tc>
          <w:tcPr>
            <w:tcW w:w="155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4000元</w:t>
            </w:r>
          </w:p>
        </w:tc>
      </w:tr>
    </w:tbl>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餐饮雇主责任险</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（1）保障内容</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企业雇员在受雇过程中（包括上下班途中），因工作原因遭受意外或患与业务有关的国家规定的职业性疾病，所致伤、残或死亡，对被保险人根据劳动合同和中华人民共和国法律、法规，须承担的医疗费及经济赔偿责任，保险人依据本保险单的规定，在约定的赔偿限额内予以赔付。</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（2）收费方案</w:t>
      </w:r>
    </w:p>
    <w:tbl>
      <w:tblPr>
        <w:tblStyle w:val="6"/>
        <w:tblW w:w="8346" w:type="dxa"/>
        <w:tblInd w:w="-5" w:type="dxa"/>
        <w:tblLayout w:type="fixed"/>
        <w:tblCellMar>
          <w:top w:w="0" w:type="dxa"/>
          <w:left w:w="108" w:type="dxa"/>
          <w:bottom w:w="0" w:type="dxa"/>
          <w:right w:w="108" w:type="dxa"/>
        </w:tblCellMar>
      </w:tblPr>
      <w:tblGrid>
        <w:gridCol w:w="4506"/>
        <w:gridCol w:w="3840"/>
      </w:tblGrid>
      <w:tr>
        <w:tblPrEx>
          <w:tblLayout w:type="fixed"/>
          <w:tblCellMar>
            <w:top w:w="0" w:type="dxa"/>
            <w:left w:w="108" w:type="dxa"/>
            <w:bottom w:w="0" w:type="dxa"/>
            <w:right w:w="108" w:type="dxa"/>
          </w:tblCellMar>
        </w:tblPrEx>
        <w:trPr>
          <w:trHeight w:val="442" w:hRule="atLeast"/>
        </w:trPr>
        <w:tc>
          <w:tcPr>
            <w:tcW w:w="45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保险责任</w:t>
            </w:r>
          </w:p>
        </w:tc>
        <w:tc>
          <w:tcPr>
            <w:tcW w:w="384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保险金额</w:t>
            </w:r>
          </w:p>
        </w:tc>
      </w:tr>
      <w:tr>
        <w:tblPrEx>
          <w:tblLayout w:type="fixed"/>
          <w:tblCellMar>
            <w:top w:w="0" w:type="dxa"/>
            <w:left w:w="108" w:type="dxa"/>
            <w:bottom w:w="0" w:type="dxa"/>
            <w:right w:w="108" w:type="dxa"/>
          </w:tblCellMar>
        </w:tblPrEx>
        <w:trPr>
          <w:trHeight w:val="442" w:hRule="atLeast"/>
        </w:trPr>
        <w:tc>
          <w:tcPr>
            <w:tcW w:w="450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每人人身伤亡责任限额</w:t>
            </w:r>
          </w:p>
        </w:tc>
        <w:tc>
          <w:tcPr>
            <w:tcW w:w="38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10万</w:t>
            </w:r>
          </w:p>
        </w:tc>
      </w:tr>
      <w:tr>
        <w:tblPrEx>
          <w:tblLayout w:type="fixed"/>
          <w:tblCellMar>
            <w:top w:w="0" w:type="dxa"/>
            <w:left w:w="108" w:type="dxa"/>
            <w:bottom w:w="0" w:type="dxa"/>
            <w:right w:w="108" w:type="dxa"/>
          </w:tblCellMar>
        </w:tblPrEx>
        <w:trPr>
          <w:trHeight w:val="442" w:hRule="atLeast"/>
        </w:trPr>
        <w:tc>
          <w:tcPr>
            <w:tcW w:w="450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每人医疗费用责任限额</w:t>
            </w:r>
          </w:p>
        </w:tc>
        <w:tc>
          <w:tcPr>
            <w:tcW w:w="38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1万</w:t>
            </w:r>
          </w:p>
        </w:tc>
      </w:tr>
      <w:tr>
        <w:tblPrEx>
          <w:tblLayout w:type="fixed"/>
          <w:tblCellMar>
            <w:top w:w="0" w:type="dxa"/>
            <w:left w:w="108" w:type="dxa"/>
            <w:bottom w:w="0" w:type="dxa"/>
            <w:right w:w="108" w:type="dxa"/>
          </w:tblCellMar>
        </w:tblPrEx>
        <w:trPr>
          <w:trHeight w:val="442" w:hRule="atLeast"/>
        </w:trPr>
        <w:tc>
          <w:tcPr>
            <w:tcW w:w="450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附加传染病感染死亡</w:t>
            </w:r>
          </w:p>
        </w:tc>
        <w:tc>
          <w:tcPr>
            <w:tcW w:w="38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10万</w:t>
            </w:r>
          </w:p>
        </w:tc>
      </w:tr>
      <w:tr>
        <w:tblPrEx>
          <w:tblLayout w:type="fixed"/>
          <w:tblCellMar>
            <w:top w:w="0" w:type="dxa"/>
            <w:left w:w="108" w:type="dxa"/>
            <w:bottom w:w="0" w:type="dxa"/>
            <w:right w:w="108" w:type="dxa"/>
          </w:tblCellMar>
        </w:tblPrEx>
        <w:trPr>
          <w:trHeight w:val="442" w:hRule="atLeast"/>
        </w:trPr>
        <w:tc>
          <w:tcPr>
            <w:tcW w:w="450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累计赔偿限额</w:t>
            </w:r>
          </w:p>
        </w:tc>
        <w:tc>
          <w:tcPr>
            <w:tcW w:w="38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50万</w:t>
            </w:r>
          </w:p>
        </w:tc>
      </w:tr>
      <w:tr>
        <w:tblPrEx>
          <w:tblLayout w:type="fixed"/>
          <w:tblCellMar>
            <w:top w:w="0" w:type="dxa"/>
            <w:left w:w="108" w:type="dxa"/>
            <w:bottom w:w="0" w:type="dxa"/>
            <w:right w:w="108" w:type="dxa"/>
          </w:tblCellMar>
        </w:tblPrEx>
        <w:trPr>
          <w:trHeight w:val="442" w:hRule="atLeast"/>
        </w:trPr>
        <w:tc>
          <w:tcPr>
            <w:tcW w:w="4506"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每人保费</w:t>
            </w:r>
          </w:p>
        </w:tc>
        <w:tc>
          <w:tcPr>
            <w:tcW w:w="384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70元/人</w:t>
            </w:r>
          </w:p>
        </w:tc>
      </w:tr>
    </w:tbl>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楷体" w:cs="仿宋_GB2312"/>
          <w:b/>
          <w:sz w:val="32"/>
          <w:szCs w:val="32"/>
          <w:lang w:eastAsia="zh-CN"/>
        </w:rPr>
      </w:pPr>
      <w:r>
        <w:rPr>
          <w:rFonts w:hint="eastAsia" w:ascii="楷体_GB2312" w:hAnsi="楷体_GB2312" w:eastAsia="楷体_GB2312" w:cs="楷体_GB2312"/>
          <w:b w:val="0"/>
          <w:bCs w:val="0"/>
          <w:sz w:val="32"/>
          <w:szCs w:val="32"/>
        </w:rPr>
        <w:t>（六）设备研发保障产品，为装备制造业领域核心关键技术攻关注入“强心针”</w:t>
      </w:r>
    </w:p>
    <w:p>
      <w:pPr>
        <w:keepNext w:val="0"/>
        <w:keepLines w:val="0"/>
        <w:pageBreakBefore w:val="0"/>
        <w:kinsoku/>
        <w:wordWrap/>
        <w:overflowPunct/>
        <w:topLinePunct w:val="0"/>
        <w:autoSpaceDE/>
        <w:autoSpaceDN/>
        <w:bidi w:val="0"/>
        <w:spacing w:line="560" w:lineRule="exact"/>
        <w:ind w:left="0" w:firstLine="57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根据《关于开展首台（套）重大技术装备保险补偿机制试点工作的通知》（财建〔2015〕19号），装备制造企业为符合条件的首台套设备投保首台套保险，可获得国家补贴首台套保险80%的高额补贴。人保作为全国仅三家能开展首台套装备保险的保险公司之一，佛山人保为装备企业开通绿色通道，对符合国家首台套目录的装备企业投保，予以“先投保、先申请补贴、后交保费”的通融模式，鼓励本地装备制造企业积极进行先进设备的投入研发，在疫情期间缓解企业的资金压力。</w:t>
      </w:r>
    </w:p>
    <w:p>
      <w:pPr>
        <w:keepNext w:val="0"/>
        <w:keepLines w:val="0"/>
        <w:pageBreakBefore w:val="0"/>
        <w:kinsoku/>
        <w:wordWrap/>
        <w:overflowPunct/>
        <w:topLinePunct w:val="0"/>
        <w:autoSpaceDE/>
        <w:autoSpaceDN/>
        <w:bidi w:val="0"/>
        <w:spacing w:line="560" w:lineRule="exact"/>
        <w:ind w:left="0"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保障内容</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（1）因产品质量缺陷导致用户要求修理、更换或退货的风险，即三包责任；</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（2）因产品质量缺陷造成用户财产损失或发生人身伤亡。</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sz w:val="32"/>
          <w:szCs w:val="32"/>
        </w:rPr>
        <w:t>收费标准</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保险费=装备交易金额*3%，其中国家补贴保费的80%，企业只需承担20%保费。</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0" w:firstLineChars="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0" w:firstLineChars="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0" w:firstLineChars="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附表</w:t>
      </w:r>
    </w:p>
    <w:p>
      <w:pPr>
        <w:keepNext w:val="0"/>
        <w:keepLines w:val="0"/>
        <w:pageBreakBefore w:val="0"/>
        <w:kinsoku/>
        <w:wordWrap/>
        <w:overflowPunct/>
        <w:topLinePunct w:val="0"/>
        <w:autoSpaceDE/>
        <w:autoSpaceDN/>
        <w:bidi w:val="0"/>
        <w:spacing w:line="560" w:lineRule="exact"/>
        <w:ind w:left="0"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tabs>
          <w:tab w:val="left" w:pos="432"/>
        </w:tabs>
        <w:spacing w:line="560" w:lineRule="exact"/>
        <w:ind w:left="0" w:firstLine="0" w:firstLineChars="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人保财险佛山分公司综合服务方案联络人</w:t>
      </w:r>
    </w:p>
    <w:p>
      <w:pPr>
        <w:pStyle w:val="2"/>
        <w:numPr>
          <w:numId w:val="0"/>
        </w:numPr>
        <w:spacing w:line="560" w:lineRule="exact"/>
        <w:ind w:left="0" w:firstLine="0"/>
        <w:rPr>
          <w:rFonts w:hint="default" w:ascii="Calibri" w:hAnsi="Calibri" w:eastAsia="宋体" w:cs="Times New Roman"/>
          <w:b/>
          <w:bCs w:val="0"/>
          <w:sz w:val="32"/>
          <w:szCs w:val="20"/>
        </w:rPr>
      </w:pPr>
    </w:p>
    <w:tbl>
      <w:tblPr>
        <w:tblStyle w:val="6"/>
        <w:tblW w:w="8100" w:type="dxa"/>
        <w:jc w:val="center"/>
        <w:tblInd w:w="-5" w:type="dxa"/>
        <w:tblLayout w:type="fixed"/>
        <w:tblCellMar>
          <w:top w:w="0" w:type="dxa"/>
          <w:left w:w="108" w:type="dxa"/>
          <w:bottom w:w="0" w:type="dxa"/>
          <w:right w:w="108" w:type="dxa"/>
        </w:tblCellMar>
      </w:tblPr>
      <w:tblGrid>
        <w:gridCol w:w="1751"/>
        <w:gridCol w:w="2821"/>
        <w:gridCol w:w="1502"/>
        <w:gridCol w:w="2026"/>
      </w:tblGrid>
      <w:tr>
        <w:tblPrEx>
          <w:tblLayout w:type="fixed"/>
          <w:tblCellMar>
            <w:top w:w="0" w:type="dxa"/>
            <w:left w:w="108" w:type="dxa"/>
            <w:bottom w:w="0" w:type="dxa"/>
            <w:right w:w="108" w:type="dxa"/>
          </w:tblCellMar>
        </w:tblPrEx>
        <w:trPr>
          <w:trHeight w:val="375"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序号</w:t>
            </w:r>
          </w:p>
        </w:tc>
        <w:tc>
          <w:tcPr>
            <w:tcW w:w="282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方案产品</w:t>
            </w:r>
          </w:p>
        </w:tc>
        <w:tc>
          <w:tcPr>
            <w:tcW w:w="15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联系人</w:t>
            </w:r>
          </w:p>
        </w:tc>
        <w:tc>
          <w:tcPr>
            <w:tcW w:w="20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82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履约保函产品</w:t>
            </w:r>
          </w:p>
        </w:tc>
        <w:tc>
          <w:tcPr>
            <w:tcW w:w="15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杨家樑</w:t>
            </w:r>
          </w:p>
        </w:tc>
        <w:tc>
          <w:tcPr>
            <w:tcW w:w="20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15622307177</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82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企业融资产品</w:t>
            </w:r>
          </w:p>
        </w:tc>
        <w:tc>
          <w:tcPr>
            <w:tcW w:w="15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郑乘雷</w:t>
            </w:r>
          </w:p>
        </w:tc>
        <w:tc>
          <w:tcPr>
            <w:tcW w:w="20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13202886408</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82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应收保障产品</w:t>
            </w:r>
          </w:p>
        </w:tc>
        <w:tc>
          <w:tcPr>
            <w:tcW w:w="15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华珍</w:t>
            </w:r>
          </w:p>
        </w:tc>
        <w:tc>
          <w:tcPr>
            <w:tcW w:w="20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13924892685</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82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专利保障产品</w:t>
            </w:r>
          </w:p>
        </w:tc>
        <w:tc>
          <w:tcPr>
            <w:tcW w:w="15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李丽娟</w:t>
            </w:r>
          </w:p>
        </w:tc>
        <w:tc>
          <w:tcPr>
            <w:tcW w:w="20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18024919259</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p>
        </w:tc>
        <w:tc>
          <w:tcPr>
            <w:tcW w:w="2821" w:type="dxa"/>
            <w:tcBorders>
              <w:top w:val="nil"/>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经营保障产品</w:t>
            </w:r>
          </w:p>
        </w:tc>
        <w:tc>
          <w:tcPr>
            <w:tcW w:w="15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吕海杰</w:t>
            </w:r>
          </w:p>
        </w:tc>
        <w:tc>
          <w:tcPr>
            <w:tcW w:w="202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13250379832</w:t>
            </w:r>
          </w:p>
        </w:tc>
      </w:tr>
      <w:tr>
        <w:tblPrEx>
          <w:tblLayout w:type="fixed"/>
          <w:tblCellMar>
            <w:top w:w="0" w:type="dxa"/>
            <w:left w:w="108" w:type="dxa"/>
            <w:bottom w:w="0" w:type="dxa"/>
            <w:right w:w="108" w:type="dxa"/>
          </w:tblCellMar>
        </w:tblPrEx>
        <w:trPr>
          <w:trHeight w:val="375"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p>
        </w:tc>
        <w:tc>
          <w:tcPr>
            <w:tcW w:w="2821"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设备研发保障产品</w:t>
            </w:r>
          </w:p>
        </w:tc>
        <w:tc>
          <w:tcPr>
            <w:tcW w:w="15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杨景锋</w:t>
            </w:r>
          </w:p>
        </w:tc>
        <w:tc>
          <w:tcPr>
            <w:tcW w:w="20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13420835295</w:t>
            </w: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Broadway">
    <w:panose1 w:val="04040905080B020205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4889500</wp:posOffset>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3.75pt;height:144pt;width:144pt;mso-position-horizontal-relative:margin;mso-wrap-style:none;z-index:251660288;mso-width-relative:page;mso-height-relative:page;" filled="f" stroked="f" coordsize="21600,21600" o:gfxdata="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6WzeL2AAAAAwBAAAP&#10;AAAAAAAAAAEAIAAAACIAAABkcnMvZG93bnJldi54bWxQSwECFAAUAAAACACHTuJA9bobQ8MCAADW&#10;BQAADgAAAAAAAAABACAAAAAnAQAAZHJzL2Uyb0RvYy54bWxQSwUGAAAAAAYABgBZAQAAXA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047F1FEE"/>
    <w:rsid w:val="187F6EC3"/>
    <w:rsid w:val="1A2F0035"/>
    <w:rsid w:val="219F7CA6"/>
    <w:rsid w:val="2CB66A16"/>
    <w:rsid w:val="2D162A4F"/>
    <w:rsid w:val="2F9543C7"/>
    <w:rsid w:val="38B8653E"/>
    <w:rsid w:val="491641B0"/>
    <w:rsid w:val="4F6B4A85"/>
    <w:rsid w:val="54FB77B6"/>
    <w:rsid w:val="5D9B4F84"/>
    <w:rsid w:val="5E011C07"/>
    <w:rsid w:val="602E0BC8"/>
    <w:rsid w:val="75D5106D"/>
    <w:rsid w:val="78326797"/>
    <w:rsid w:val="7F066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正文 New New New New New New New"/>
    <w:next w:val="9"/>
    <w:qFormat/>
    <w:uiPriority w:val="0"/>
    <w:pPr>
      <w:widowControl w:val="0"/>
      <w:jc w:val="both"/>
    </w:pPr>
    <w:rPr>
      <w:rFonts w:ascii="Calibri" w:hAnsi="Calibri" w:eastAsia="宋体" w:cs="Times New Roman"/>
      <w:kern w:val="2"/>
      <w:sz w:val="21"/>
      <w:szCs w:val="22"/>
      <w:lang w:val="en-US" w:eastAsia="zh-CN"/>
    </w:rPr>
  </w:style>
  <w:style w:type="paragraph" w:customStyle="1" w:styleId="9">
    <w:name w:val="Plain Text"/>
    <w:basedOn w:val="10"/>
    <w:qFormat/>
    <w:uiPriority w:val="0"/>
    <w:pPr>
      <w:ind w:firstLine="21" w:firstLineChars="200"/>
      <w:jc w:val="left"/>
    </w:pPr>
    <w:rPr>
      <w:rFonts w:ascii="宋体" w:hAnsi="Courier New"/>
      <w:szCs w:val="21"/>
    </w:rPr>
  </w:style>
  <w:style w:type="paragraph" w:customStyle="1" w:styleId="10">
    <w:name w:val="正文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1">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2">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3">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 w:type="paragraph" w:customStyle="1" w:styleId="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2021-06-18T04:46:01Z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