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顺德农商银行支持企业平稳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应对疫情综合服务方案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积极应对新一轮新冠肺炎疫情冲击的影响，保障市场主体经营稳定性和持续性，我行通过提供专人服务、专门流程、专属产品等系列专属金融服务，为抗击疫情相关物资生产供应企业或受疫情影响的企业提供全方面金融服务保障措施，进一步缓解疫情防控企业或受疫情影响企业的融资的燃眉之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一、专属产品，提高服务针对性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针对与疫情抗击相关的各类企业，为满足其生产采购疫情抗击相关物资、原材料，及弥补企业日常生产经营的资金所需，我行通过线上、线下渠道配套了专属的信贷产品和优惠利率。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w:t>
      </w:r>
      <w:r>
        <w:rPr>
          <w:rFonts w:hint="eastAsia" w:ascii="楷体_GB2312" w:eastAsia="楷体_GB2312"/>
          <w:sz w:val="32"/>
          <w:szCs w:val="32"/>
        </w:rPr>
        <w:t>提供全流程线上化供应链金融服务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我行提供全面的供应链金融业务，围绕核心企业相对稳固的商务链，根据采购、生产和销售环节中真实的基础交易，借助核心企业的商业商誉、履约能力、管理手段等，向核心企业的上下游企业提供融资服务。疫情期间，为解决企业上门办理业务的不便，我行推出线上云保理业务、为核心企业的上游供应商发放供应链贷款，实现全线上申请、T+0放款。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业务简介：线上云保理业务是是指由核心企业（买方）进行应付账款确认，将确认的电子付款凭证在线上支付给上游客户，上游客户（卖方）将其持有的经核心企业确认的应收账款及电子付款凭证转让给银行，获取融资的国内保理业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2.适用对象：适用于供应链项下的核心企业及其上游产业链客户。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3.贷款金额：最高为应收账款金额100%。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4.贷款期限：最长12个月。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5.贷款利率：提供专项优惠政策，较商业承兑汇票贴现有相应的减点优惠。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（二）提供7*24小时无间断线上贷款金融服务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1.税融快线业务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结合疫情防控需要，我行积极开发线上业务办理渠道，大力推行线上银税互动贷款业务——“税融快线”，可为受疫情影响的企业提供全线上、纯信用、免纸质申请材料的贷款产品。客户通过我行个人手银/个人网银即可一键申请，3-5分钟即可完成系统自动审批，全程无接触办理，贷款资金实时到账，随借随还。为受疫情影响的企业提供高效、便捷的线上金融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（1）产品适用对象：广东省内最近1年纳税信用评级B级（含）以上的企业法定代表人。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（2）授信额度：最高300万元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（3）贷款期限：最长12个月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（4）贷款利率：推行最新优惠利率政策，年利率低至4.25%。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2. “E速贴”线上贴现业务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sz w:val="32"/>
          <w:szCs w:val="32"/>
        </w:rPr>
      </w:pPr>
      <w:r>
        <w:rPr>
          <w:rFonts w:hint="eastAsia" w:ascii="仿宋_GB2312" w:eastAsia="仿宋_GB2312"/>
          <w:sz w:val="32"/>
          <w:szCs w:val="32"/>
        </w:rPr>
        <w:t>受新冠肺炎疫情影响，对于企业持有票据又急需资金周转，但上门办理业务耗时长，递交资料手续不便，企业可办理我行E速贴线上贴现业务，企业通过线上申请贴现，资金瞬间到账，为企业迅速提供金融支持</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3.国内电子信用证业务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为提升金融服务水平，我行于2020年5月加入了中国人民银行清算总中心的电证系统。我行通过上线电证系统，实现国内信用证全流程的电子化和规范化管理，支持发票、合同信息核验，可为企业实现资金线上清算，助力企业线上快速、安全、便捷支付。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（1）业务简介：国内电子信用证是指我行根据申请人申请，以数据电文形式制作并在电子信用证信息交换系统开立的，对相符交单予以付款的承诺。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（2）适用对象：适用于具有真实、合法的商品交易或服务贸易的信用证电子化结算的国内企业，也适用于受疫情影响的生产性、贸易型企业。适合于对应企业采用分批发货、分批付款等多样化的模式。</w:t>
      </w:r>
    </w:p>
    <w:p>
      <w:pPr>
        <w:pStyle w:val="15"/>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707" w:firstLineChars="221"/>
        <w:textAlignment w:val="auto"/>
        <w:outlineLvl w:val="9"/>
        <w:rPr>
          <w:rFonts w:ascii="楷体_GB2312" w:hAnsi="Times New Roman" w:eastAsia="楷体_GB2312" w:cs="Times New Roman"/>
          <w:sz w:val="32"/>
          <w:szCs w:val="32"/>
        </w:rPr>
      </w:pPr>
      <w:r>
        <w:rPr>
          <w:rFonts w:hint="eastAsia" w:ascii="楷体_GB2312" w:eastAsia="楷体_GB2312"/>
          <w:sz w:val="32"/>
          <w:szCs w:val="32"/>
        </w:rPr>
        <w:t>（三）配套</w:t>
      </w:r>
      <w:r>
        <w:rPr>
          <w:rFonts w:hint="eastAsia" w:ascii="楷体_GB2312" w:hAnsi="Times New Roman" w:eastAsia="楷体_GB2312" w:cs="Times New Roman"/>
          <w:sz w:val="32"/>
          <w:szCs w:val="32"/>
        </w:rPr>
        <w:t>“稳企贷”、“好快贷”信用贷款产品</w:t>
      </w:r>
    </w:p>
    <w:p>
      <w:pPr>
        <w:pStyle w:val="15"/>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707" w:firstLineChars="221"/>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行积极落实普惠小微信用贷款政策，支持企业获得免抵押贷款，积极助力企业平稳应对疫情的影响。符合条件的小微企业、个体工商户及小微企业主可以通过办理“稳企贷”、“好快贷”信用贷款产品，可获得免抵押免担保的纯信用贷款支持，贷款金额高达1000万元，贷款期限最长12个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黑体" w:eastAsia="楷体_GB2312"/>
          <w:spacing w:val="-10"/>
          <w:sz w:val="32"/>
          <w:szCs w:val="32"/>
        </w:rPr>
      </w:pPr>
      <w:r>
        <w:rPr>
          <w:rFonts w:hint="eastAsia" w:ascii="楷体_GB2312" w:eastAsia="楷体_GB2312"/>
          <w:sz w:val="32"/>
          <w:szCs w:val="32"/>
        </w:rPr>
        <w:t>（四）</w:t>
      </w:r>
      <w:r>
        <w:rPr>
          <w:rFonts w:hint="eastAsia" w:ascii="楷体_GB2312" w:hAnsi="黑体" w:eastAsia="楷体_GB2312"/>
          <w:spacing w:val="-10"/>
          <w:sz w:val="32"/>
          <w:szCs w:val="32"/>
        </w:rPr>
        <w:t>强化对优质外贸企业的金融支持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行积极发挥金融“稳外贸”作用，针对本次疫情对全球贸易的影响，为优质外贸企业提供授信和用款的“绿色通道”，为外贸企业应对国际贸易风险支招，提前企业评估订单风险，关注全球货贸动态，运用出口信保保障自身权益，做好国内市场转向的准备，发展线上电子商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二、优化流程，简化线下贷款申请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（一）建立应急审批流程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在疫情期间，对生产、销售与抗击疫情相关物资企业的合理信贷需求，我行可提供“优先受理，容缺审批，快速发放”的专属流程，提高金融支持疫情防控的响应速度。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（二）简化疫情区域企业贷款受理、签约等流程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针对客户经营地/项目所在地、客户常住地、抵押物所在地等位于疫情中高风险区域、以及当地有关部门明确的疫情敏感区域（以下统称疫情区域）的，我行推行“不接触”差异化的管理措施。包括通过以电子贷款申请资料替代纸质材料、简化实地调查方式与合同签订方式以及采取非现场监控措施等，提高企业线下贷款的便捷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三、建立跨境业务绿色通道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（一）对于与疫情相关的境外物资采购付汇，放宽企业名录要求，免事前审核材料。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二）对于境内外因支援此次疫情汇入的外汇捐赠资金，可直接通过受赠单位已有的经常项目外汇结算账户，便捷办理资金入账和结汇手续，暂停实施需开立捐赠外汇账户的要求。若受赠单位未开立外汇结算账户，银行可直接为其结汇并入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（三）对于与疫情防控相关的资本项目收入结汇支付业务，可凭《资本项目外汇收入支付便利化业务支付命令函》直接在我行办理，无需事前、逐笔提交单证材料。</w:t>
      </w:r>
    </w:p>
    <w:p>
      <w:pPr>
        <w:keepNext w:val="0"/>
        <w:keepLines w:val="0"/>
        <w:pageBreakBefore w:val="0"/>
        <w:widowControl w:val="0"/>
        <w:kinsoku/>
        <w:wordWrap/>
        <w:overflowPunct/>
        <w:topLinePunct w:val="0"/>
        <w:autoSpaceDE/>
        <w:autoSpaceDN/>
        <w:bidi w:val="0"/>
        <w:adjustRightInd/>
        <w:snapToGrid/>
        <w:spacing w:line="560" w:lineRule="exact"/>
        <w:ind w:left="105" w:leftChars="50" w:right="0" w:rightChars="0" w:firstLine="480" w:firstLineChars="150"/>
        <w:textAlignment w:val="auto"/>
        <w:outlineLvl w:val="9"/>
        <w:rPr>
          <w:rFonts w:ascii="黑体" w:hAnsi="黑体" w:eastAsia="黑体" w:cs="Times New Roman"/>
          <w:sz w:val="32"/>
          <w:szCs w:val="32"/>
        </w:rPr>
      </w:pPr>
      <w:r>
        <w:rPr>
          <w:rFonts w:hint="eastAsia" w:ascii="黑体" w:hAnsi="黑体" w:eastAsia="黑体" w:cs="Times New Roman"/>
          <w:sz w:val="32"/>
          <w:szCs w:val="32"/>
        </w:rPr>
        <w:t>四、便捷线上金融产品，提供非接触服务</w:t>
      </w:r>
    </w:p>
    <w:p>
      <w:pPr>
        <w:keepNext w:val="0"/>
        <w:keepLines w:val="0"/>
        <w:pageBreakBefore w:val="0"/>
        <w:widowControl w:val="0"/>
        <w:kinsoku/>
        <w:wordWrap/>
        <w:overflowPunct/>
        <w:topLinePunct w:val="0"/>
        <w:autoSpaceDE/>
        <w:autoSpaceDN/>
        <w:bidi w:val="0"/>
        <w:adjustRightInd/>
        <w:snapToGrid/>
        <w:spacing w:line="560" w:lineRule="exact"/>
        <w:ind w:left="105" w:leftChars="50" w:right="0" w:rightChars="0" w:firstLine="640" w:firstLineChars="200"/>
        <w:textAlignment w:val="auto"/>
        <w:outlineLvl w:val="9"/>
        <w:rPr>
          <w:rFonts w:ascii="仿宋_GB2312" w:hAnsi="Times New Roman" w:eastAsia="仿宋_GB2312" w:cs="Times New Roman"/>
          <w:sz w:val="32"/>
          <w:szCs w:val="32"/>
        </w:rPr>
      </w:pPr>
      <w:r>
        <w:rPr>
          <w:rFonts w:hint="eastAsia" w:ascii="楷体_GB2312" w:hAnsi="Times New Roman" w:eastAsia="楷体_GB2312" w:cs="Times New Roman"/>
          <w:sz w:val="32"/>
          <w:szCs w:val="32"/>
        </w:rPr>
        <w:t>（一）</w:t>
      </w:r>
      <w:r>
        <w:rPr>
          <w:rFonts w:hint="eastAsia" w:ascii="仿宋_GB2312" w:hAnsi="Times New Roman" w:eastAsia="仿宋_GB2312" w:cs="Times New Roman"/>
          <w:sz w:val="32"/>
          <w:szCs w:val="32"/>
        </w:rPr>
        <w:t>新冠疫情期间，我行持续加强外汇业务网上银行、手机银行、现金管理平台和银企直联等线上渠道业务，功能包括账户查询、转账汇款、定期业务、投资理财、自助缴费、电子汇票等，并能有效支持外贸型企业通过网上银行实时办理即期实时结汇、挂单结汇、在线提交购汇及汇款申请等相关业务，满足企业日常支付结算需要，实现7X24小时不间断服务。</w:t>
      </w:r>
    </w:p>
    <w:p>
      <w:pPr>
        <w:keepNext w:val="0"/>
        <w:keepLines w:val="0"/>
        <w:pageBreakBefore w:val="0"/>
        <w:widowControl w:val="0"/>
        <w:kinsoku/>
        <w:wordWrap/>
        <w:overflowPunct/>
        <w:topLinePunct w:val="0"/>
        <w:autoSpaceDE/>
        <w:autoSpaceDN/>
        <w:bidi w:val="0"/>
        <w:adjustRightInd/>
        <w:snapToGrid/>
        <w:spacing w:line="560" w:lineRule="exact"/>
        <w:ind w:left="105" w:leftChars="50" w:right="0" w:rightChars="0" w:firstLine="640" w:firstLineChars="200"/>
        <w:textAlignment w:val="auto"/>
        <w:outlineLvl w:val="9"/>
        <w:rPr>
          <w:rFonts w:hint="eastAsia" w:ascii="仿宋_GB2312" w:hAnsi="Times New Roman" w:eastAsia="仿宋_GB2312" w:cs="Times New Roman"/>
          <w:sz w:val="32"/>
          <w:szCs w:val="32"/>
        </w:rPr>
      </w:pPr>
      <w:r>
        <w:rPr>
          <w:rFonts w:hint="eastAsia" w:ascii="楷体_GB2312" w:hAnsi="Times New Roman" w:eastAsia="楷体_GB2312" w:cs="Times New Roman"/>
          <w:sz w:val="32"/>
          <w:szCs w:val="32"/>
        </w:rPr>
        <w:t>（二）</w:t>
      </w:r>
      <w:r>
        <w:rPr>
          <w:rFonts w:hint="eastAsia" w:ascii="仿宋_GB2312" w:hAnsi="Times New Roman" w:eastAsia="仿宋_GB2312" w:cs="Times New Roman"/>
          <w:sz w:val="32"/>
          <w:szCs w:val="32"/>
        </w:rPr>
        <w:t>为满足不同行业非接触服务的需求，我行提供专门的线上解决方案，如：针对工业园区开发“顺盈管家”园区服务平台，实现园区在线收缴停车费、水电费、租金等功能，提升园区的电子化管理水平；针对教育行业创新“E缴费”在线缴费平台，支持学校微信公众号等线上门户在线缴费；针对招投标行业开发“招标通”综合解决方案，实现招投标保证金在线缴交和在线退还功能；针对慈善行业提供“慈善+”服务方案，实现慈善捐款资金的分类管理和在线捐款等功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五、共渡难关，解资金周转顾虑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（一）落实延期还款付息政策，做到应延尽延。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为缓解受疫情影响的企业的还本付息压力，我行根据企业的申请，对符合要求的客户给予一定期限的延期还本付息安排，做到应延尽延。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（二）配套灵活的续贷产品，缓解受困企业的还款压力。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对于有正常经营实力但因疫情影响暂时受困的企业，制定一户一策的纾困方案，</w:t>
      </w:r>
      <w:r>
        <w:rPr>
          <w:rFonts w:hint="eastAsia" w:ascii="仿宋_GB2312" w:hAnsi="Times New Roman" w:eastAsia="仿宋_GB2312" w:cs="Times New Roman"/>
          <w:b/>
          <w:sz w:val="32"/>
          <w:szCs w:val="32"/>
        </w:rPr>
        <w:t>一是</w:t>
      </w:r>
      <w:r>
        <w:rPr>
          <w:rFonts w:hint="eastAsia" w:ascii="仿宋_GB2312" w:hAnsi="Times New Roman" w:eastAsia="仿宋_GB2312" w:cs="Times New Roman"/>
          <w:sz w:val="32"/>
          <w:szCs w:val="32"/>
        </w:rPr>
        <w:t>配套政策性企业融资专项资金办理“转贷资金”业务、无缝续贷等产品，减轻企业转贷资金压力，缓解企业由于疫情造成的暂时性经营困难，为企业提供持续的信贷支持。</w:t>
      </w:r>
      <w:r>
        <w:rPr>
          <w:rFonts w:hint="eastAsia" w:ascii="仿宋_GB2312" w:hAnsi="Times New Roman" w:eastAsia="仿宋_GB2312" w:cs="Times New Roman"/>
          <w:b/>
          <w:sz w:val="32"/>
          <w:szCs w:val="32"/>
        </w:rPr>
        <w:t>二是</w:t>
      </w:r>
      <w:r>
        <w:rPr>
          <w:rFonts w:hint="eastAsia" w:ascii="仿宋_GB2312" w:hAnsi="Times New Roman" w:eastAsia="仿宋_GB2312" w:cs="Times New Roman"/>
          <w:sz w:val="32"/>
          <w:szCs w:val="32"/>
        </w:rPr>
        <w:t>阶段性调整客户的贷款方案，适当给予贷款利率优惠、调整还款周期等方式，缓解受困企业的还款压力。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Times New Roman" w:eastAsia="仿宋_GB2312" w:cs="Times New Roman"/>
          <w:sz w:val="32"/>
          <w:szCs w:val="32"/>
          <w:lang w:eastAsia="zh-CN"/>
        </w:rPr>
      </w:pPr>
      <w:bookmarkStart w:id="0" w:name="_GoBack"/>
      <w:bookmarkEnd w:id="0"/>
      <w:r>
        <w:rPr>
          <w:rFonts w:hint="eastAsia" w:ascii="黑体" w:hAnsi="黑体" w:eastAsia="黑体" w:cs="黑体"/>
          <w:sz w:val="32"/>
          <w:szCs w:val="32"/>
          <w:lang w:eastAsia="zh-CN"/>
        </w:rPr>
        <w:t>附表</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顺德农商银行主要对接名单</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p>
    <w:tbl>
      <w:tblPr>
        <w:tblStyle w:val="6"/>
        <w:tblW w:w="7446" w:type="dxa"/>
        <w:tblInd w:w="675" w:type="dxa"/>
        <w:tblLayout w:type="fixed"/>
        <w:tblCellMar>
          <w:top w:w="0" w:type="dxa"/>
          <w:left w:w="108" w:type="dxa"/>
          <w:bottom w:w="0" w:type="dxa"/>
          <w:right w:w="108" w:type="dxa"/>
        </w:tblCellMar>
      </w:tblPr>
      <w:tblGrid>
        <w:gridCol w:w="3417"/>
        <w:gridCol w:w="4029"/>
      </w:tblGrid>
      <w:tr>
        <w:tblPrEx>
          <w:tblLayout w:type="fixed"/>
          <w:tblCellMar>
            <w:top w:w="0" w:type="dxa"/>
            <w:left w:w="108" w:type="dxa"/>
            <w:bottom w:w="0" w:type="dxa"/>
            <w:right w:w="108" w:type="dxa"/>
          </w:tblCellMar>
        </w:tblPrEx>
        <w:trPr>
          <w:trHeight w:val="540" w:hRule="atLeast"/>
        </w:trPr>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分支机构</w:t>
            </w:r>
          </w:p>
        </w:tc>
        <w:tc>
          <w:tcPr>
            <w:tcW w:w="402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电话号码</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大良</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0757-22386951</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伦教</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0757-27332656</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陈村</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0757-23832187</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北滘</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0757-26330365</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乐从</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0757-28332386</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勒流</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0757-25332219</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龙江</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0757-23883275</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杏坛</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0757-27381887</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均安</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0757-25382677</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容桂</w:t>
            </w:r>
            <w:r>
              <w:rPr>
                <w:rFonts w:hint="eastAsia" w:ascii="Arial" w:hAnsi="Arial" w:cs="Arial"/>
                <w:b w:val="0"/>
                <w:bCs w:val="0"/>
                <w:kern w:val="0"/>
                <w:sz w:val="22"/>
              </w:rPr>
              <w:t>支行</w:t>
            </w:r>
          </w:p>
        </w:tc>
        <w:tc>
          <w:tcPr>
            <w:tcW w:w="4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0757-28388597</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总</w:t>
            </w:r>
            <w:r>
              <w:rPr>
                <w:rFonts w:hint="eastAsia" w:ascii="Arial" w:hAnsi="Arial" w:cs="Arial"/>
                <w:b w:val="0"/>
                <w:bCs w:val="0"/>
                <w:kern w:val="0"/>
                <w:sz w:val="22"/>
              </w:rPr>
              <w:t>行营业部</w:t>
            </w:r>
          </w:p>
        </w:tc>
        <w:tc>
          <w:tcPr>
            <w:tcW w:w="402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0757-22387538</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ascii="Arial" w:hAnsi="Arial" w:cs="Arial"/>
                <w:b w:val="0"/>
                <w:bCs w:val="0"/>
                <w:kern w:val="0"/>
                <w:sz w:val="22"/>
              </w:rPr>
              <w:t>恩平</w:t>
            </w:r>
            <w:r>
              <w:rPr>
                <w:rFonts w:hint="eastAsia" w:ascii="Arial" w:hAnsi="Arial" w:cs="Arial"/>
                <w:b w:val="0"/>
                <w:bCs w:val="0"/>
                <w:kern w:val="0"/>
                <w:sz w:val="22"/>
              </w:rPr>
              <w:t>支行</w:t>
            </w:r>
          </w:p>
        </w:tc>
        <w:tc>
          <w:tcPr>
            <w:tcW w:w="4029" w:type="dxa"/>
            <w:tcBorders>
              <w:top w:val="single" w:color="000000" w:sz="4" w:space="0"/>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0750-7738036</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hint="eastAsia" w:ascii="宋体" w:hAnsi="宋体" w:cs="Arial"/>
                <w:b w:val="0"/>
                <w:bCs w:val="0"/>
                <w:kern w:val="0"/>
                <w:sz w:val="22"/>
              </w:rPr>
              <w:t>南海</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0757-66825576</w:t>
            </w:r>
          </w:p>
        </w:tc>
      </w:tr>
      <w:tr>
        <w:tblPrEx>
          <w:tblLayout w:type="fixed"/>
          <w:tblCellMar>
            <w:top w:w="0" w:type="dxa"/>
            <w:left w:w="108" w:type="dxa"/>
            <w:bottom w:w="0" w:type="dxa"/>
            <w:right w:w="108" w:type="dxa"/>
          </w:tblCellMar>
        </w:tblPrEx>
        <w:trPr>
          <w:trHeight w:val="30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Arial" w:hAnsi="Arial" w:cs="Arial"/>
                <w:b w:val="0"/>
                <w:bCs w:val="0"/>
                <w:kern w:val="0"/>
                <w:sz w:val="22"/>
              </w:rPr>
            </w:pPr>
            <w:r>
              <w:rPr>
                <w:rFonts w:hint="eastAsia" w:ascii="宋体" w:hAnsi="宋体" w:cs="Arial"/>
                <w:b w:val="0"/>
                <w:bCs w:val="0"/>
                <w:kern w:val="0"/>
                <w:sz w:val="22"/>
              </w:rPr>
              <w:t>英德</w:t>
            </w:r>
            <w:r>
              <w:rPr>
                <w:rFonts w:hint="eastAsia" w:ascii="Arial" w:hAnsi="Arial" w:cs="Arial"/>
                <w:b w:val="0"/>
                <w:bCs w:val="0"/>
                <w:kern w:val="0"/>
                <w:sz w:val="22"/>
              </w:rPr>
              <w:t>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0763-2606800</w:t>
            </w:r>
          </w:p>
        </w:tc>
      </w:tr>
      <w:tr>
        <w:tblPrEx>
          <w:tblLayout w:type="fixed"/>
          <w:tblCellMar>
            <w:top w:w="0" w:type="dxa"/>
            <w:left w:w="108" w:type="dxa"/>
            <w:bottom w:w="0" w:type="dxa"/>
            <w:right w:w="108" w:type="dxa"/>
          </w:tblCellMar>
        </w:tblPrEx>
        <w:trPr>
          <w:trHeight w:val="27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val="0"/>
                <w:bCs w:val="0"/>
                <w:kern w:val="0"/>
                <w:sz w:val="22"/>
              </w:rPr>
            </w:pPr>
            <w:r>
              <w:rPr>
                <w:rFonts w:hint="eastAsia" w:ascii="宋体" w:hAnsi="宋体" w:cs="宋体"/>
                <w:b w:val="0"/>
                <w:bCs w:val="0"/>
                <w:kern w:val="0"/>
                <w:sz w:val="22"/>
              </w:rPr>
              <w:t>南沙分行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020-31150603</w:t>
            </w:r>
          </w:p>
        </w:tc>
      </w:tr>
      <w:tr>
        <w:tblPrEx>
          <w:tblLayout w:type="fixed"/>
          <w:tblCellMar>
            <w:top w:w="0" w:type="dxa"/>
            <w:left w:w="108" w:type="dxa"/>
            <w:bottom w:w="0" w:type="dxa"/>
            <w:right w:w="108" w:type="dxa"/>
          </w:tblCellMar>
        </w:tblPrEx>
        <w:trPr>
          <w:trHeight w:val="27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val="0"/>
                <w:bCs w:val="0"/>
                <w:kern w:val="0"/>
                <w:sz w:val="22"/>
              </w:rPr>
            </w:pPr>
            <w:r>
              <w:rPr>
                <w:rFonts w:hint="eastAsia" w:ascii="宋体" w:hAnsi="宋体" w:cs="宋体"/>
                <w:b w:val="0"/>
                <w:bCs w:val="0"/>
                <w:kern w:val="0"/>
                <w:sz w:val="22"/>
              </w:rPr>
              <w:t>横琴分行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0756-8188655</w:t>
            </w:r>
          </w:p>
        </w:tc>
      </w:tr>
      <w:tr>
        <w:tblPrEx>
          <w:tblLayout w:type="fixed"/>
          <w:tblCellMar>
            <w:top w:w="0" w:type="dxa"/>
            <w:left w:w="108" w:type="dxa"/>
            <w:bottom w:w="0" w:type="dxa"/>
            <w:right w:w="108" w:type="dxa"/>
          </w:tblCellMar>
        </w:tblPrEx>
        <w:trPr>
          <w:trHeight w:val="270" w:hRule="atLeast"/>
        </w:trPr>
        <w:tc>
          <w:tcPr>
            <w:tcW w:w="34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val="0"/>
                <w:bCs w:val="0"/>
                <w:kern w:val="0"/>
                <w:sz w:val="22"/>
              </w:rPr>
            </w:pPr>
            <w:r>
              <w:rPr>
                <w:rFonts w:hint="eastAsia" w:ascii="宋体" w:hAnsi="宋体" w:cs="宋体"/>
                <w:b w:val="0"/>
                <w:bCs w:val="0"/>
                <w:kern w:val="0"/>
                <w:sz w:val="22"/>
              </w:rPr>
              <w:t>科技创新支行</w:t>
            </w:r>
          </w:p>
        </w:tc>
        <w:tc>
          <w:tcPr>
            <w:tcW w:w="4029" w:type="dxa"/>
            <w:tcBorders>
              <w:top w:val="nil"/>
              <w:left w:val="nil"/>
              <w:bottom w:val="single" w:color="000000"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0757-22385556</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roadway">
    <w:panose1 w:val="04040905080B020205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4889500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3.75pt;height:144pt;width:144pt;mso-position-horizontal-relative:margin;mso-wrap-style:none;z-index:251660288;mso-width-relative:page;mso-height-relative:page;" filled="f" stroked="f" coordsize="21600,21600" o:gfxdata="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6WzeL2AAAAAwBAAAP&#10;AAAAAAAAAAEAIAAAACIAAABkcnMvZG93bnJldi54bWxQSwECFAAUAAAACACHTuJA9bobQ8MCAADW&#10;BQAADgAAAAAAAAABACAAAAAnAQAAZHJzL2Uyb0RvYy54bWxQSwUGAAAAAAYABgBZAQAAXA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47F1FEE"/>
    <w:rsid w:val="187F6EC3"/>
    <w:rsid w:val="1A2F0035"/>
    <w:rsid w:val="219F7CA6"/>
    <w:rsid w:val="2CB66A16"/>
    <w:rsid w:val="38B8653E"/>
    <w:rsid w:val="491641B0"/>
    <w:rsid w:val="4F6B4A85"/>
    <w:rsid w:val="54FB77B6"/>
    <w:rsid w:val="5D9B4F84"/>
    <w:rsid w:val="602E0BC8"/>
    <w:rsid w:val="75D5106D"/>
    <w:rsid w:val="78326797"/>
    <w:rsid w:val="7F066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New New New New"/>
    <w:next w:val="8"/>
    <w:qFormat/>
    <w:uiPriority w:val="0"/>
    <w:pPr>
      <w:widowControl w:val="0"/>
      <w:jc w:val="both"/>
    </w:pPr>
    <w:rPr>
      <w:rFonts w:ascii="Calibri" w:hAnsi="Calibri" w:eastAsia="宋体" w:cs="Times New Roman"/>
      <w:kern w:val="2"/>
      <w:sz w:val="21"/>
      <w:szCs w:val="22"/>
      <w:lang w:val="en-US" w:eastAsia="zh-CN"/>
    </w:rPr>
  </w:style>
  <w:style w:type="paragraph" w:customStyle="1" w:styleId="8">
    <w:name w:val="Plain Text"/>
    <w:basedOn w:val="9"/>
    <w:qFormat/>
    <w:uiPriority w:val="0"/>
    <w:pPr>
      <w:ind w:firstLine="21" w:firstLineChars="200"/>
      <w:jc w:val="left"/>
    </w:pPr>
    <w:rPr>
      <w:rFonts w:ascii="宋体" w:hAnsi="Courier New"/>
      <w:szCs w:val="21"/>
    </w:rPr>
  </w:style>
  <w:style w:type="paragraph" w:customStyle="1" w:styleId="9">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0">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 w:type="paragraph" w:customStyle="1" w:styleId="13">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2021-06-18T04:44:45Z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