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农业银行佛山分行支持企业平稳</w:t>
      </w:r>
    </w:p>
    <w:p>
      <w:pPr>
        <w:pStyle w:val="8"/>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应对疫情综合金融服务方案</w:t>
      </w:r>
    </w:p>
    <w:p>
      <w:pPr>
        <w:pStyle w:val="9"/>
        <w:spacing w:line="560" w:lineRule="exact"/>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sz w:val="32"/>
          <w:szCs w:val="32"/>
          <w:lang w:val="en-US" w:eastAsia="zh-CN"/>
        </w:rPr>
        <w:t>农业银行佛山分行在佛山市委、市政府的正确领导下，在社会各界的关心支持下，各项业务取得了长足的发展。2018年荣获佛山市“支持实体经济发展综合贡献奖”和“支持小微企业发展专项贡献奖”两项一等奖；2013-2018年连续六年获得“佛山银行业履行社会责任典范”和“最具口碑金融机构”两项赞誉。为支持佛山市企业积极应对新一波新冠肺炎疫情冲击影响，我行为企业提供全方位、一体化的优质金融服务，为企业复工复产期间提供一系列融资产品。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一、我行融资信贷产品优势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（一）产品融资成本低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信贷产品可享受普惠金融信贷政策和优惠利率，融资成本低，在银行同业具有绝对优势，让企业充分享受佛山高质量发展的红利。</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（二）产品专项额度足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农行安排了足额的专项信贷规模，能全面满足中小企业的融资需求，全力支持复工复产，确保企业随时提款。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（三）产品覆盖范围广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信贷产品能全面覆盖各个行业不同企业的融资需求，涵盖信用、质押、抵押等不同担保方式，确保满足企业多样的融资需求。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（四）产品放款速度快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信贷产品操作简便，能根据企业需求可通过线上和线下方式办理，及时满足不同企业的融资需求，最快能在两个工作日内实现放款。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（五）农行网点分布广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农行营业网点众多，全面覆盖佛山五区各镇街，可有效和便捷地为企业提供包括融资服务外的其他结算、增值等各种金融服务，让企业体验农行的全方位优质服务。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（六）服务团队专业性强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农行已成立信贷产品服务团队，由分行行领导牵头，并指定专业支行办理，团队成员涵盖佛山分行多个业务支持部门。我行将以一支强大的专业化服务团队，竭诚为广广大中小企业提供高效、优质、快速、全面的金融服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二、我行融资产品种类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我行将根据广大中小企业的经营情况，以抵押、质押、信用等方式核定综合授信额度；授信额度可用于可循环使用的短期授信业务，也可申请中长期业务；贷款利率执行我行贷款优惠政策。以满足企业的金融需求，解决企业融资难和融资贵的困境。具体融资方案如下：</w:t>
      </w:r>
    </w:p>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b w:val="0"/>
          <w:bCs/>
          <w:lang w:val="en-US" w:eastAsia="zh-CN"/>
        </w:rPr>
      </w:pPr>
      <w:bookmarkStart w:id="0" w:name="_Toc14765"/>
      <w:r>
        <w:rPr>
          <w:rFonts w:hint="eastAsia" w:ascii="楷体_GB2312" w:hAnsi="华文中宋" w:eastAsia="楷体_GB2312"/>
          <w:b w:val="0"/>
          <w:bCs/>
          <w:color w:val="000000"/>
          <w:sz w:val="32"/>
          <w:szCs w:val="32"/>
          <w:lang w:val="en-US" w:eastAsia="zh-CN"/>
        </w:rPr>
        <w:t>（一）A类客户—</w:t>
      </w:r>
      <w:r>
        <w:rPr>
          <w:rFonts w:hint="eastAsia" w:ascii="楷体_GB2312" w:eastAsia="楷体_GB2312"/>
          <w:b w:val="0"/>
          <w:bCs/>
          <w:sz w:val="32"/>
          <w:szCs w:val="32"/>
          <w:lang w:val="en-US" w:eastAsia="zh-CN"/>
        </w:rPr>
        <w:t>客户拥有住房、商铺、写字楼、工业厂房等可抵押资产。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bookmarkStart w:id="1" w:name="_Toc908"/>
      <w:r>
        <w:rPr>
          <w:rFonts w:hint="eastAsia" w:ascii="仿宋_GB2312" w:hAnsi="仿宋_GB2312" w:eastAsia="仿宋_GB2312" w:cs="仿宋_GB2312"/>
          <w:b w:val="0"/>
          <w:bCs/>
          <w:color w:val="000000"/>
          <w:sz w:val="32"/>
          <w:szCs w:val="32"/>
          <w:lang w:val="en-US" w:eastAsia="zh-CN"/>
        </w:rPr>
        <w:t>客户可根据抵押物价值，通过线上或线下方式，核定可融资额度，具体要素如下：</w:t>
      </w:r>
    </w:p>
    <w:tbl>
      <w:tblPr>
        <w:tblStyle w:val="7"/>
        <w:tblW w:w="8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业务品种</w:t>
            </w:r>
          </w:p>
        </w:tc>
        <w:tc>
          <w:tcPr>
            <w:tcW w:w="6525"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抵押</w:t>
            </w:r>
            <w:r>
              <w:rPr>
                <w:rFonts w:hint="eastAsia" w:ascii="仿宋_GB2312" w:hAnsi="仿宋_GB2312" w:eastAsia="仿宋_GB2312" w:cs="仿宋_GB2312"/>
                <w:b/>
                <w:sz w:val="28"/>
                <w:szCs w:val="28"/>
                <w:lang w:val="en-US" w:eastAsia="zh-CN"/>
              </w:rPr>
              <w:t>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贷款额度</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以抵押物价值直接核定额度，线上不超过</w:t>
            </w:r>
            <w:r>
              <w:rPr>
                <w:rFonts w:hint="eastAsia" w:ascii="仿宋_GB2312" w:hAnsi="仿宋_GB2312" w:eastAsia="仿宋_GB2312" w:cs="仿宋_GB2312"/>
                <w:b w:val="0"/>
                <w:bCs/>
                <w:sz w:val="28"/>
                <w:szCs w:val="28"/>
                <w:lang w:val="en-US" w:eastAsia="zh-CN"/>
              </w:rPr>
              <w:t>1000万，线下</w:t>
            </w:r>
            <w:r>
              <w:rPr>
                <w:rFonts w:hint="eastAsia" w:ascii="仿宋_GB2312" w:hAnsi="仿宋_GB2312" w:eastAsia="仿宋_GB2312" w:cs="仿宋_GB2312"/>
                <w:b w:val="0"/>
                <w:bCs/>
                <w:sz w:val="28"/>
                <w:szCs w:val="28"/>
                <w:lang w:eastAsia="zh-CN"/>
              </w:rPr>
              <w:t>不超过3000万元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担保方式</w:t>
            </w:r>
          </w:p>
        </w:tc>
        <w:tc>
          <w:tcPr>
            <w:tcW w:w="6525"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足额抵押担保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抵押率</w:t>
            </w:r>
          </w:p>
        </w:tc>
        <w:tc>
          <w:tcPr>
            <w:tcW w:w="6525"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居住用房，不超过70%；商业用房，不超过60%；办公用房，不超过50%；工业用房，不超过</w:t>
            </w:r>
            <w:r>
              <w:rPr>
                <w:rFonts w:hint="eastAsia" w:ascii="仿宋_GB2312" w:hAnsi="仿宋_GB2312" w:eastAsia="仿宋_GB2312" w:cs="仿宋_GB2312"/>
                <w:b w:val="0"/>
                <w:bCs/>
                <w:sz w:val="28"/>
                <w:szCs w:val="28"/>
                <w:lang w:val="en-US" w:eastAsia="zh-CN"/>
              </w:rPr>
              <w:t>70</w:t>
            </w:r>
            <w:r>
              <w:rPr>
                <w:rFonts w:hint="eastAsia" w:ascii="仿宋_GB2312" w:hAnsi="仿宋_GB2312" w:eastAsia="仿宋_GB2312" w:cs="仿宋_GB2312"/>
                <w:b w:val="0"/>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贷款期限</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一般不超过1年，最长不超过3年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val="en-US" w:eastAsia="zh-CN"/>
              </w:rPr>
              <w:t>还款方式</w:t>
            </w:r>
          </w:p>
        </w:tc>
        <w:tc>
          <w:tcPr>
            <w:tcW w:w="6525"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线上业务可随借随还；线下业务一次性还本按月还息</w:t>
            </w:r>
          </w:p>
        </w:tc>
      </w:tr>
      <w:bookmarkEnd w:id="1"/>
    </w:tbl>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楷体_GB2312" w:hAnsi="华文中宋" w:eastAsia="楷体_GB2312"/>
          <w:b w:val="0"/>
          <w:bCs/>
          <w:color w:val="000000"/>
          <w:szCs w:val="28"/>
          <w:lang w:val="en-US" w:eastAsia="zh-CN"/>
        </w:rPr>
      </w:pPr>
      <w:r>
        <w:rPr>
          <w:rFonts w:hint="eastAsia" w:ascii="楷体_GB2312" w:hAnsi="华文中宋" w:eastAsia="楷体_GB2312"/>
          <w:b w:val="0"/>
          <w:bCs/>
          <w:color w:val="000000"/>
          <w:sz w:val="32"/>
          <w:szCs w:val="32"/>
          <w:lang w:val="en-US" w:eastAsia="zh-CN"/>
        </w:rPr>
        <w:t>（二）B类客户—客户无可抵押资产，但在农行开立对公账户并办理结算及代发工资业务、或有正常缴税记录及纳税等级证明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客户可根据企业纳税额、我行对公账户结算额和代发工资额、净资产、上年度销售收入等，核定可融资额度，具体要素如下：</w:t>
      </w:r>
    </w:p>
    <w:tbl>
      <w:tblPr>
        <w:tblStyle w:val="7"/>
        <w:tblW w:w="8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业务品种</w:t>
            </w:r>
          </w:p>
        </w:tc>
        <w:tc>
          <w:tcPr>
            <w:tcW w:w="6525"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信用贷（纳税贷、结算通、工资贷）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贷款额度</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根据企业上年度缴税额、我行公户结算额、代发工资额等核定可融资额度，总额不超过</w:t>
            </w:r>
            <w:r>
              <w:rPr>
                <w:rFonts w:hint="eastAsia" w:ascii="仿宋_GB2312" w:hAnsi="仿宋_GB2312" w:eastAsia="仿宋_GB2312" w:cs="仿宋_GB2312"/>
                <w:b w:val="0"/>
                <w:bCs/>
                <w:sz w:val="28"/>
                <w:szCs w:val="28"/>
                <w:lang w:val="en-US" w:eastAsia="zh-CN"/>
              </w:rPr>
              <w:t>200-300万元。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担保方式</w:t>
            </w:r>
          </w:p>
        </w:tc>
        <w:tc>
          <w:tcPr>
            <w:tcW w:w="6525"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信用方式用信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贷款期限</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还款方式</w:t>
            </w:r>
          </w:p>
        </w:tc>
        <w:tc>
          <w:tcPr>
            <w:tcW w:w="6525"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线上业务可随借随还；线下业务一次性还本按月还息</w:t>
            </w:r>
          </w:p>
        </w:tc>
      </w:tr>
    </w:tbl>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楷体_GB2312" w:hAnsi="华文中宋" w:eastAsia="楷体_GB2312"/>
          <w:b w:val="0"/>
          <w:bCs/>
          <w:color w:val="000000"/>
          <w:sz w:val="32"/>
          <w:szCs w:val="32"/>
          <w:lang w:val="en-US" w:eastAsia="zh-CN"/>
        </w:rPr>
      </w:pPr>
      <w:r>
        <w:rPr>
          <w:rFonts w:hint="eastAsia" w:ascii="楷体_GB2312" w:hAnsi="华文中宋" w:eastAsia="楷体_GB2312"/>
          <w:b w:val="0"/>
          <w:bCs/>
          <w:color w:val="000000"/>
          <w:sz w:val="32"/>
          <w:szCs w:val="32"/>
          <w:lang w:val="en-US" w:eastAsia="zh-CN"/>
        </w:rPr>
        <w:t>（三）C类客户—客户无可抵押资产，未在农行开立对公账户，无缴税记录及纳税等级证明，但自身拥有知识产权资产</w:t>
      </w:r>
    </w:p>
    <w:tbl>
      <w:tblPr>
        <w:tblStyle w:val="7"/>
        <w:tblW w:w="8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业务品种</w:t>
            </w:r>
          </w:p>
        </w:tc>
        <w:tc>
          <w:tcPr>
            <w:tcW w:w="6525"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保险贷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贷款额度</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highlight w:val="none"/>
                <w:lang w:val="en-US" w:eastAsia="zh-CN"/>
              </w:rPr>
              <w:t>单个企业贷款金额不超过300万元；从次年起单个企业贷款金额可提升至500万元。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担保方式</w:t>
            </w:r>
          </w:p>
        </w:tc>
        <w:tc>
          <w:tcPr>
            <w:tcW w:w="6525"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20%保证金+80%保险增信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贷款期限</w:t>
            </w:r>
          </w:p>
        </w:tc>
        <w:tc>
          <w:tcPr>
            <w:tcW w:w="6525" w:type="dxa"/>
            <w:vAlign w:val="center"/>
          </w:tcPr>
          <w:p>
            <w:pPr>
              <w:ind w:left="0" w:leftChars="0" w:right="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39" w:type="dxa"/>
            <w:vAlign w:val="center"/>
          </w:tcPr>
          <w:p>
            <w:pPr>
              <w:jc w:val="center"/>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还款方式</w:t>
            </w:r>
          </w:p>
        </w:tc>
        <w:tc>
          <w:tcPr>
            <w:tcW w:w="6525"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一次性还本按月还息</w:t>
            </w:r>
          </w:p>
        </w:tc>
      </w:tr>
    </w:tbl>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楷体_GB2312" w:hAnsi="华文中宋" w:eastAsia="楷体_GB2312"/>
          <w:b w:val="0"/>
          <w:bCs/>
          <w:color w:val="000000"/>
          <w:sz w:val="32"/>
          <w:szCs w:val="32"/>
          <w:lang w:val="en-US" w:eastAsia="zh-CN"/>
        </w:rPr>
      </w:pPr>
      <w:r>
        <w:rPr>
          <w:rFonts w:hint="eastAsia" w:ascii="楷体_GB2312" w:hAnsi="华文中宋" w:eastAsia="楷体_GB2312"/>
          <w:b w:val="0"/>
          <w:bCs/>
          <w:color w:val="000000"/>
          <w:sz w:val="32"/>
          <w:szCs w:val="32"/>
          <w:lang w:val="en-US" w:eastAsia="zh-CN"/>
        </w:rPr>
        <w:t>（四）D类客户—拥有其他金融质押品、或获得其他科创成果、或获得政府采购、政府补贴、政府风险基金，贷款用于生产经营中的资金周转需求的其他客户。</w:t>
      </w:r>
    </w:p>
    <w:bookmarkEnd w:id="0"/>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仿宋_GB2312" w:hAnsi="仿宋_GB2312" w:eastAsia="仿宋_GB2312" w:cs="仿宋_GB2312"/>
          <w:b/>
          <w:color w:val="000000"/>
          <w:sz w:val="32"/>
          <w:szCs w:val="32"/>
          <w:lang w:val="en-US" w:eastAsia="zh-CN"/>
        </w:rPr>
      </w:pPr>
      <w:bookmarkStart w:id="2" w:name="_Toc9691"/>
      <w:r>
        <w:rPr>
          <w:rFonts w:hint="eastAsia" w:ascii="仿宋_GB2312" w:hAnsi="仿宋_GB2312" w:eastAsia="仿宋_GB2312" w:cs="仿宋_GB2312"/>
          <w:b w:val="0"/>
          <w:bCs/>
          <w:color w:val="000000"/>
          <w:sz w:val="32"/>
          <w:szCs w:val="32"/>
          <w:lang w:val="en-US" w:eastAsia="zh-CN"/>
        </w:rPr>
        <w:t>1.金融资产质押贷款</w:t>
      </w:r>
      <w:bookmarkEnd w:id="2"/>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根据提供个人或公司金融资产（理财产品、定期存单、保单），在我行办理融资的信贷业务。</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8" w:type="dxa"/>
            <w:vAlign w:val="center"/>
          </w:tcPr>
          <w:p>
            <w:pPr>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eastAsia="zh-CN"/>
              </w:rPr>
              <w:t>产品要素</w:t>
            </w:r>
          </w:p>
        </w:tc>
        <w:tc>
          <w:tcPr>
            <w:tcW w:w="6944"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8"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贷款额度</w:t>
            </w:r>
          </w:p>
        </w:tc>
        <w:tc>
          <w:tcPr>
            <w:tcW w:w="6944"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综合考虑理财产品的风险等级和用信人信用等级，按理财产品本金（到期收益）70%-90%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8"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贷款期限</w:t>
            </w:r>
          </w:p>
        </w:tc>
        <w:tc>
          <w:tcPr>
            <w:tcW w:w="6944"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最长不超过1年，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8"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贷款用途</w:t>
            </w:r>
          </w:p>
        </w:tc>
        <w:tc>
          <w:tcPr>
            <w:tcW w:w="6944"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满足借款人在正常生产经营过程中的资金周转需求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8"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用信</w:t>
            </w:r>
            <w:r>
              <w:rPr>
                <w:rFonts w:hint="eastAsia" w:ascii="仿宋_GB2312" w:hAnsi="仿宋_GB2312" w:eastAsia="仿宋_GB2312" w:cs="仿宋_GB2312"/>
                <w:b/>
                <w:bCs w:val="0"/>
                <w:sz w:val="28"/>
                <w:szCs w:val="28"/>
                <w:lang w:val="en-US" w:eastAsia="zh-CN"/>
              </w:rPr>
              <w:t>品种</w:t>
            </w:r>
          </w:p>
        </w:tc>
        <w:tc>
          <w:tcPr>
            <w:tcW w:w="6944"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包括流动贷款、贸易融资、票据承兑、保函、信用证等表内外融资业务</w:t>
            </w:r>
          </w:p>
        </w:tc>
      </w:tr>
    </w:tbl>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2.科创贷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科创贷是指农业银行以各级政府风险补偿基金增信机制为基础，向纳入当地政府风险补偿基金支持范围的科技型中小企业发放的各类融资业务。</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产品要素</w:t>
            </w:r>
          </w:p>
        </w:tc>
        <w:tc>
          <w:tcPr>
            <w:tcW w:w="7017"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贷款额度</w:t>
            </w:r>
          </w:p>
        </w:tc>
        <w:tc>
          <w:tcPr>
            <w:tcW w:w="7017"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中型企业单户贷款额度最高可达8000万元，小型企业最高可达3000万元，微型企业最高可达500万元。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bCs w:val="0"/>
                <w:sz w:val="28"/>
                <w:szCs w:val="28"/>
                <w:highlight w:val="none"/>
                <w:lang w:eastAsia="zh-CN"/>
              </w:rPr>
            </w:pPr>
            <w:r>
              <w:rPr>
                <w:rFonts w:hint="eastAsia" w:ascii="仿宋_GB2312" w:hAnsi="仿宋_GB2312" w:eastAsia="仿宋_GB2312" w:cs="仿宋_GB2312"/>
                <w:b/>
                <w:bCs w:val="0"/>
                <w:sz w:val="28"/>
                <w:szCs w:val="28"/>
                <w:highlight w:val="none"/>
                <w:lang w:eastAsia="zh-CN"/>
              </w:rPr>
              <w:t>贷款期限</w:t>
            </w:r>
          </w:p>
        </w:tc>
        <w:tc>
          <w:tcPr>
            <w:tcW w:w="7017" w:type="dxa"/>
            <w:vAlign w:val="center"/>
          </w:tcPr>
          <w:p>
            <w:pPr>
              <w:ind w:left="0" w:leftChars="0" w:right="0" w:rightChars="0" w:firstLine="0" w:firstLineChars="0"/>
              <w:jc w:val="left"/>
              <w:rPr>
                <w:rFonts w:hint="eastAsia" w:ascii="仿宋_GB2312" w:hAnsi="仿宋_GB2312" w:eastAsia="仿宋_GB2312" w:cs="仿宋_GB2312"/>
                <w:b w:val="0"/>
                <w:bCs/>
                <w:sz w:val="28"/>
                <w:szCs w:val="28"/>
                <w:highlight w:val="none"/>
                <w:lang w:val="en-US" w:eastAsia="zh-CN"/>
              </w:rPr>
            </w:pPr>
            <w:r>
              <w:rPr>
                <w:rFonts w:hint="eastAsia" w:ascii="仿宋_GB2312" w:hAnsi="仿宋_GB2312" w:eastAsia="仿宋_GB2312" w:cs="仿宋_GB2312"/>
                <w:b w:val="0"/>
                <w:bCs/>
                <w:sz w:val="28"/>
                <w:szCs w:val="28"/>
                <w:highlight w:val="none"/>
                <w:lang w:val="en-US" w:eastAsia="zh-CN"/>
              </w:rPr>
              <w:t>根据企业融资期限需求，视实际情况而定。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贷款用途</w:t>
            </w:r>
          </w:p>
        </w:tc>
        <w:tc>
          <w:tcPr>
            <w:tcW w:w="7017"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可满足企业流动资金需求和购买机器、设备等小额固定资产资金需求。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val="en-US" w:eastAsia="zh-CN"/>
              </w:rPr>
              <w:t>担保方式</w:t>
            </w:r>
          </w:p>
        </w:tc>
        <w:tc>
          <w:tcPr>
            <w:tcW w:w="7017"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可提供政府增信担保、房地产抵押担保、股权和知识产权质押担保、信用等多种形式担保。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5" w:type="dxa"/>
            <w:vAlign w:val="center"/>
          </w:tcPr>
          <w:p>
            <w:pPr>
              <w:jc w:val="center"/>
              <w:rPr>
                <w:rFonts w:hint="eastAsia" w:ascii="仿宋_GB2312" w:hAnsi="仿宋_GB2312" w:eastAsia="仿宋_GB2312" w:cs="仿宋_GB2312"/>
                <w:b w:val="0"/>
                <w:bCs/>
                <w:sz w:val="28"/>
                <w:szCs w:val="28"/>
                <w:highlight w:val="none"/>
                <w:lang w:val="en-US" w:eastAsia="zh-CN"/>
              </w:rPr>
            </w:pPr>
            <w:r>
              <w:rPr>
                <w:rFonts w:hint="eastAsia" w:ascii="仿宋_GB2312" w:hAnsi="仿宋_GB2312" w:eastAsia="仿宋_GB2312" w:cs="仿宋_GB2312"/>
                <w:b w:val="0"/>
                <w:bCs/>
                <w:sz w:val="28"/>
                <w:szCs w:val="28"/>
                <w:highlight w:val="none"/>
                <w:lang w:val="en-US" w:eastAsia="zh-CN"/>
              </w:rPr>
              <w:t>还款方式</w:t>
            </w:r>
          </w:p>
        </w:tc>
        <w:tc>
          <w:tcPr>
            <w:tcW w:w="7017" w:type="dxa"/>
            <w:vAlign w:val="center"/>
          </w:tcPr>
          <w:p>
            <w:pPr>
              <w:jc w:val="left"/>
              <w:rPr>
                <w:rFonts w:hint="eastAsia" w:ascii="仿宋_GB2312" w:hAnsi="仿宋_GB2312" w:eastAsia="仿宋_GB2312" w:cs="仿宋_GB2312"/>
                <w:b w:val="0"/>
                <w:bCs/>
                <w:sz w:val="28"/>
                <w:szCs w:val="28"/>
                <w:highlight w:val="none"/>
                <w:lang w:eastAsia="zh-CN"/>
              </w:rPr>
            </w:pPr>
            <w:r>
              <w:rPr>
                <w:rFonts w:hint="eastAsia" w:ascii="仿宋_GB2312" w:hAnsi="仿宋_GB2312" w:eastAsia="仿宋_GB2312" w:cs="仿宋_GB2312"/>
                <w:b w:val="0"/>
                <w:bCs/>
                <w:sz w:val="28"/>
                <w:szCs w:val="28"/>
                <w:highlight w:val="none"/>
                <w:lang w:eastAsia="zh-CN"/>
              </w:rPr>
              <w:t>可采用一次还本、定期付息方式</w:t>
            </w:r>
          </w:p>
        </w:tc>
      </w:tr>
    </w:tbl>
    <w:p>
      <w:pPr>
        <w:pStyle w:val="3"/>
        <w:keepNext/>
        <w:keepLines/>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2"/>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3.一般固定资产贷款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一般固定资产贷款可满足企业在固定资产投资活动的资金需求，固定资产包括：基本建设、技术改造、开发并生成新产品等活动及相关的房屋购置、工程建设、技术设备购买与安装等。</w:t>
      </w:r>
    </w:p>
    <w:p>
      <w:pPr>
        <w:pStyle w:val="2"/>
        <w:numPr>
          <w:numId w:val="0"/>
        </w:numPr>
        <w:ind w:left="0" w:firstLine="0"/>
        <w:rPr>
          <w:rFonts w:hint="eastAsia"/>
          <w:lang w:val="en-US" w:eastAsia="zh-CN"/>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26"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产品要素</w:t>
            </w:r>
          </w:p>
        </w:tc>
        <w:tc>
          <w:tcPr>
            <w:tcW w:w="7096"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exact"/>
          <w:jc w:val="center"/>
        </w:trPr>
        <w:tc>
          <w:tcPr>
            <w:tcW w:w="1426"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贷款额度</w:t>
            </w:r>
          </w:p>
        </w:tc>
        <w:tc>
          <w:tcPr>
            <w:tcW w:w="7096"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根据固定资产建设项目总投资、资金筹措方案和实际需求，合理确定额度。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26"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贷款期限</w:t>
            </w:r>
          </w:p>
        </w:tc>
        <w:tc>
          <w:tcPr>
            <w:tcW w:w="7096"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最长可达20年。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26"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贷款用途</w:t>
            </w:r>
          </w:p>
        </w:tc>
        <w:tc>
          <w:tcPr>
            <w:tcW w:w="7096"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满足企业在固定资产投资活动的资金需求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26"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用信</w:t>
            </w:r>
            <w:r>
              <w:rPr>
                <w:rFonts w:hint="eastAsia" w:ascii="仿宋_GB2312" w:hAnsi="仿宋_GB2312" w:eastAsia="仿宋_GB2312" w:cs="仿宋_GB2312"/>
                <w:b w:val="0"/>
                <w:bCs/>
                <w:sz w:val="28"/>
                <w:szCs w:val="28"/>
                <w:lang w:val="en-US" w:eastAsia="zh-CN"/>
              </w:rPr>
              <w:t>品种</w:t>
            </w:r>
          </w:p>
        </w:tc>
        <w:tc>
          <w:tcPr>
            <w:tcW w:w="7096"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固定资产贷款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jc w:val="center"/>
        </w:trPr>
        <w:tc>
          <w:tcPr>
            <w:tcW w:w="1426" w:type="dxa"/>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还款方式</w:t>
            </w:r>
          </w:p>
        </w:tc>
        <w:tc>
          <w:tcPr>
            <w:tcW w:w="7096"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按月还息，按约还本。</w:t>
            </w:r>
          </w:p>
        </w:tc>
      </w:tr>
    </w:tbl>
    <w:p>
      <w:pPr>
        <w:pStyle w:val="3"/>
        <w:widowControl/>
        <w:numPr>
          <w:ilvl w:val="0"/>
          <w:numId w:val="0"/>
        </w:numPr>
        <w:spacing w:before="0" w:beforeLines="0" w:after="0" w:afterLines="0" w:line="560" w:lineRule="exac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lang w:eastAsia="zh-CN"/>
        </w:rPr>
        <w:t>个人类线下融资业务</w:t>
      </w:r>
    </w:p>
    <w:p>
      <w:pPr>
        <w:pStyle w:val="3"/>
        <w:widowControl/>
        <w:numPr>
          <w:ilvl w:val="0"/>
          <w:numId w:val="0"/>
        </w:numPr>
        <w:spacing w:before="0" w:beforeLines="0" w:after="0" w:afterLines="0" w:line="560" w:lineRule="exact"/>
        <w:ind w:left="0" w:right="0" w:firstLine="640" w:firstLineChars="200"/>
        <w:rPr>
          <w:rFonts w:hint="eastAsia" w:ascii="仿宋_GB2312" w:hAnsi="仿宋_GB2312" w:eastAsia="仿宋_GB2312" w:cs="仿宋_GB2312"/>
          <w:b/>
          <w:color w:val="000000"/>
          <w:sz w:val="32"/>
          <w:szCs w:val="32"/>
          <w:lang w:val="en-US" w:eastAsia="zh-CN"/>
        </w:rPr>
      </w:pPr>
      <w:bookmarkStart w:id="3" w:name="_Toc22924"/>
      <w:bookmarkStart w:id="4" w:name="_Toc4898"/>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lang w:eastAsia="zh-CN"/>
        </w:rPr>
        <w:t>）线上融资业务</w:t>
      </w:r>
      <w:bookmarkEnd w:id="3"/>
      <w:bookmarkStart w:id="5" w:name="_Toc22469"/>
      <w:r>
        <w:rPr>
          <w:rFonts w:hint="eastAsia" w:ascii="仿宋_GB2312" w:hAnsi="仿宋_GB2312" w:eastAsia="仿宋_GB2312" w:cs="仿宋_GB2312"/>
          <w:b w:val="0"/>
          <w:bCs/>
          <w:color w:val="000000"/>
          <w:sz w:val="32"/>
          <w:szCs w:val="32"/>
          <w:lang w:val="en-US" w:eastAsia="zh-CN"/>
        </w:rPr>
        <w:t>-助业快E贷</w:t>
      </w:r>
      <w:bookmarkEnd w:id="5"/>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助业快E贷是指我行向税收管理部门依法纳税、纳税信用评价高的个体工商户和小微企业主提供的额度在50万元以内，期限最长1年的个人线上融资业务。</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产品要素</w:t>
            </w:r>
          </w:p>
        </w:tc>
        <w:tc>
          <w:tcPr>
            <w:tcW w:w="6642"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贷款额度</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单户最高不超过</w:t>
            </w:r>
            <w:r>
              <w:rPr>
                <w:rFonts w:hint="eastAsia" w:ascii="仿宋_GB2312" w:hAnsi="仿宋_GB2312" w:eastAsia="仿宋_GB2312" w:cs="仿宋_GB2312"/>
                <w:b w:val="0"/>
                <w:bCs/>
                <w:sz w:val="28"/>
                <w:szCs w:val="28"/>
                <w:lang w:val="en-US" w:eastAsia="zh-CN"/>
              </w:rPr>
              <w:t>50</w:t>
            </w:r>
            <w:r>
              <w:rPr>
                <w:rFonts w:hint="eastAsia" w:ascii="仿宋_GB2312" w:hAnsi="仿宋_GB2312" w:eastAsia="仿宋_GB2312" w:cs="仿宋_GB2312"/>
                <w:b w:val="0"/>
                <w:bCs/>
                <w:sz w:val="28"/>
                <w:szCs w:val="2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贷款期限</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最长不超过1年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利率</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根据总行相关规定，执行普惠金融利率；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担保方式</w:t>
            </w:r>
          </w:p>
        </w:tc>
        <w:tc>
          <w:tcPr>
            <w:tcW w:w="6642"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信用方式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还款方式</w:t>
            </w:r>
          </w:p>
        </w:tc>
        <w:tc>
          <w:tcPr>
            <w:tcW w:w="6642"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随借随还、按日计息，按月付息，到期一次性还本；</w:t>
            </w:r>
          </w:p>
        </w:tc>
      </w:tr>
    </w:tbl>
    <w:p>
      <w:pPr>
        <w:pStyle w:val="3"/>
        <w:widowControl/>
        <w:numPr>
          <w:ilvl w:val="0"/>
          <w:numId w:val="0"/>
        </w:numPr>
        <w:spacing w:before="0" w:beforeLines="0" w:after="0" w:afterLines="0" w:line="560" w:lineRule="exact"/>
        <w:ind w:left="0" w:right="0" w:firstLine="640" w:firstLineChars="200"/>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）线下融资业务</w:t>
      </w:r>
      <w:bookmarkStart w:id="6" w:name="_Toc24282"/>
      <w:r>
        <w:rPr>
          <w:rFonts w:hint="eastAsia" w:ascii="仿宋_GB2312" w:hAnsi="仿宋_GB2312" w:eastAsia="仿宋_GB2312" w:cs="仿宋_GB2312"/>
          <w:b w:val="0"/>
          <w:bCs/>
          <w:color w:val="000000"/>
          <w:sz w:val="32"/>
          <w:szCs w:val="32"/>
          <w:lang w:val="en-US" w:eastAsia="zh-CN"/>
        </w:rPr>
        <w:t>-个人生产经营贷款</w:t>
      </w:r>
      <w:bookmarkEnd w:id="6"/>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个人生产经营贷款是指我行向具有中华人民共和国国籍，从事合法生产经营活动的个体工商户和小微企业主提供的最高额度1000万元，期限最长10年的个人生产经营性贷款业务。</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产品要素</w:t>
            </w:r>
          </w:p>
        </w:tc>
        <w:tc>
          <w:tcPr>
            <w:tcW w:w="6642"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贷款额度</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且单户最高不超过</w:t>
            </w:r>
            <w:r>
              <w:rPr>
                <w:rFonts w:hint="eastAsia" w:ascii="仿宋_GB2312" w:hAnsi="仿宋_GB2312" w:eastAsia="仿宋_GB2312" w:cs="仿宋_GB2312"/>
                <w:b w:val="0"/>
                <w:bCs/>
                <w:sz w:val="28"/>
                <w:szCs w:val="28"/>
                <w:lang w:val="en-US" w:eastAsia="zh-CN"/>
              </w:rPr>
              <w:t>10</w:t>
            </w:r>
            <w:r>
              <w:rPr>
                <w:rFonts w:hint="eastAsia" w:ascii="仿宋_GB2312" w:hAnsi="仿宋_GB2312" w:eastAsia="仿宋_GB2312" w:cs="仿宋_GB2312"/>
                <w:b w:val="0"/>
                <w:bCs/>
                <w:sz w:val="28"/>
                <w:szCs w:val="28"/>
                <w:lang w:eastAsia="zh-C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贷款期限</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最长不超过10年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贷款用途</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满足个体工商户和小微企业主产生过程的流动资金需要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利率</w:t>
            </w:r>
          </w:p>
        </w:tc>
        <w:tc>
          <w:tcPr>
            <w:tcW w:w="6642" w:type="dxa"/>
            <w:vAlign w:val="center"/>
          </w:tcPr>
          <w:p>
            <w:pPr>
              <w:ind w:left="0" w:leftChars="0" w:right="0" w:rightChars="0" w:firstLine="0" w:firstLineChars="0"/>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根据总行相关规定，执行普惠金融利率；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担保方式</w:t>
            </w:r>
          </w:p>
        </w:tc>
        <w:tc>
          <w:tcPr>
            <w:tcW w:w="6642"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房地产抵押担保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80" w:type="dxa"/>
            <w:vAlign w:val="center"/>
          </w:tcPr>
          <w:p>
            <w:pPr>
              <w:jc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还款方式</w:t>
            </w:r>
          </w:p>
        </w:tc>
        <w:tc>
          <w:tcPr>
            <w:tcW w:w="6642" w:type="dxa"/>
            <w:vAlign w:val="center"/>
          </w:tcPr>
          <w:p>
            <w:pPr>
              <w:jc w:val="left"/>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贷款期限在一年以内（含）的，可采用按月还息到期还本的方式；贷款期限在一年以上的，可采用按月等额本息或等本递减还款的方式。</w:t>
            </w:r>
          </w:p>
        </w:tc>
      </w:tr>
      <w:bookmarkEnd w:id="4"/>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right="0" w:rightChars="0" w:firstLine="640" w:firstLineChars="200"/>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三、我行融资产品保障措施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为使我行能够为广大中小微企业提供完善的各种服务，我们承诺把足够的资源配置到服务中，包括可靠便捷的系统资源、高效优惠的融资服务模式、专业严谨的人员配备等。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（一）组织保障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1"/>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我们成立一个以佛山分行行领导牵头、分行公司业务部部署、各支行执行、各营业网点落地的四级联动营销团队，并由科技部门提供技术支持，确保服务方案顺利实施，解决实施过程中的沟通协调及资源配置问题，为服务提供有力保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right="0" w:rightChars="0" w:firstLine="640" w:firstLineChars="200"/>
        <w:textAlignment w:val="auto"/>
        <w:outlineLvl w:val="1"/>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（二）制度保障</w:t>
      </w:r>
    </w:p>
    <w:p>
      <w:pPr>
        <w:spacing w:beforeLines="0" w:afterLines="0" w:line="560" w:lineRule="exact"/>
        <w:ind w:firstLine="640" w:firstLineChars="200"/>
        <w:rPr>
          <w:rFonts w:hint="eastAsia" w:ascii="楷体_GB2312" w:hAnsi="华文中宋" w:eastAsia="楷体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1.开设绿色通道</w:t>
      </w:r>
    </w:p>
    <w:p>
      <w:pPr>
        <w:spacing w:beforeLines="0" w:afterLines="0"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开设绿色通道。向小微企业特别是受疫情影响的企业提供绿色服务通道，确保收集资料、审核授信、签订合同、贷款发放等相关信贷业务优先办理、快速放款。</w:t>
      </w:r>
    </w:p>
    <w:p>
      <w:pPr>
        <w:spacing w:beforeLines="0" w:afterLines="0" w:line="560" w:lineRule="exact"/>
        <w:ind w:firstLine="640" w:firstLineChars="200"/>
        <w:rPr>
          <w:rFonts w:hint="eastAsia" w:ascii="楷体_GB2312" w:hAnsi="华文中宋" w:eastAsia="楷体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2.经常性的客户经理走访制度</w:t>
      </w:r>
    </w:p>
    <w:p>
      <w:pPr>
        <w:spacing w:beforeLines="0" w:afterLines="0"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我们为广大中小企业配备了高素质客户经理，并规定客户经理为企业提供服务和咨询，并随时接受客户的各种咨询，保证信息的24小时无障碍沟通。</w:t>
      </w:r>
    </w:p>
    <w:p>
      <w:pPr>
        <w:spacing w:beforeLines="0" w:afterLines="0" w:line="560" w:lineRule="exact"/>
        <w:ind w:firstLine="640" w:firstLineChars="200"/>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3.合作保密制度</w:t>
      </w:r>
    </w:p>
    <w:p>
      <w:pPr>
        <w:spacing w:beforeLines="0" w:afterLines="0"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我行承诺对广大中小企业经营、财务等信息严格保密。</w:t>
      </w:r>
    </w:p>
    <w:p>
      <w:pPr>
        <w:spacing w:beforeLines="0" w:afterLines="0" w:line="560" w:lineRule="exact"/>
        <w:ind w:firstLine="640" w:firstLineChars="200"/>
        <w:rPr>
          <w:rFonts w:hint="eastAsia" w:ascii="仿宋_GB2312" w:hAnsi="仿宋_GB2312" w:eastAsia="仿宋_GB2312" w:cs="仿宋_GB2312"/>
          <w:b w:val="0"/>
          <w:bCs/>
          <w:color w:val="000000"/>
          <w:sz w:val="32"/>
          <w:szCs w:val="32"/>
          <w:lang w:val="en-US" w:eastAsia="zh-CN"/>
        </w:rPr>
      </w:pPr>
    </w:p>
    <w:p>
      <w:pPr>
        <w:spacing w:beforeLines="0" w:afterLines="0" w:line="56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佛山市广大中小企业、个体工商户可直接联系农行佛山分行（具体服务机构及联系电话见附表），提出专项融资需求和产品意向，农行将24*7小时实时响应，并提供绿色通道应急服务，给予企业相关普惠政策及融资信息支持。</w:t>
      </w:r>
    </w:p>
    <w:p>
      <w:pPr>
        <w:ind w:firstLine="640" w:firstLineChars="200"/>
        <w:rPr>
          <w:rFonts w:hint="eastAsia" w:ascii="仿宋_GB2312" w:hAnsi="仿宋_GB2312" w:eastAsia="仿宋_GB2312" w:cs="仿宋_GB2312"/>
          <w:b w:val="0"/>
          <w:bCs/>
          <w:color w:val="000000"/>
          <w:sz w:val="32"/>
          <w:szCs w:val="32"/>
          <w:lang w:val="en-US" w:eastAsia="zh-CN"/>
        </w:rPr>
      </w:pPr>
    </w:p>
    <w:p>
      <w:pPr>
        <w:ind w:firstLine="640" w:firstLineChars="200"/>
        <w:rPr>
          <w:rFonts w:hint="eastAsia" w:ascii="仿宋_GB2312" w:hAnsi="仿宋_GB2312" w:eastAsia="仿宋_GB2312" w:cs="仿宋_GB2312"/>
          <w:b w:val="0"/>
          <w:bCs/>
          <w:color w:val="000000"/>
          <w:sz w:val="32"/>
          <w:szCs w:val="32"/>
          <w:lang w:val="en-US" w:eastAsia="zh-CN"/>
        </w:rPr>
      </w:pPr>
    </w:p>
    <w:p>
      <w:pPr>
        <w:ind w:firstLine="640" w:firstLineChars="200"/>
        <w:rPr>
          <w:rFonts w:hint="eastAsia" w:ascii="仿宋_GB2312" w:hAnsi="仿宋_GB2312" w:eastAsia="仿宋_GB2312" w:cs="仿宋_GB2312"/>
          <w:b w:val="0"/>
          <w:bCs/>
          <w:color w:val="000000"/>
          <w:sz w:val="32"/>
          <w:szCs w:val="32"/>
          <w:lang w:val="en-US" w:eastAsia="zh-CN"/>
        </w:rPr>
      </w:pPr>
    </w:p>
    <w:p>
      <w:pPr>
        <w:ind w:firstLine="640" w:firstLineChars="200"/>
        <w:rPr>
          <w:rFonts w:hint="eastAsia" w:ascii="仿宋_GB2312" w:hAnsi="仿宋_GB2312" w:eastAsia="仿宋_GB2312" w:cs="仿宋_GB2312"/>
          <w:b w:val="0"/>
          <w:bCs/>
          <w:color w:val="000000"/>
          <w:sz w:val="32"/>
          <w:szCs w:val="32"/>
          <w:lang w:val="en-US" w:eastAsia="zh-CN"/>
        </w:rPr>
      </w:pPr>
    </w:p>
    <w:p>
      <w:pPr>
        <w:ind w:firstLine="640" w:firstLineChars="200"/>
        <w:rPr>
          <w:rFonts w:hint="eastAsia" w:ascii="仿宋_GB2312" w:hAnsi="仿宋_GB2312" w:eastAsia="仿宋_GB2312" w:cs="仿宋_GB2312"/>
          <w:b w:val="0"/>
          <w:bCs/>
          <w:color w:val="000000"/>
          <w:sz w:val="32"/>
          <w:szCs w:val="32"/>
          <w:lang w:val="en-US" w:eastAsia="zh-CN"/>
        </w:rPr>
      </w:pPr>
    </w:p>
    <w:p>
      <w:pPr>
        <w:ind w:firstLine="640" w:firstLineChars="200"/>
        <w:rPr>
          <w:rFonts w:hint="eastAsia" w:ascii="仿宋_GB2312" w:hAnsi="仿宋_GB2312" w:eastAsia="仿宋_GB2312" w:cs="仿宋_GB2312"/>
          <w:b w:val="0"/>
          <w:bCs/>
          <w:color w:val="000000"/>
          <w:sz w:val="32"/>
          <w:szCs w:val="32"/>
          <w:lang w:val="en-US" w:eastAsia="zh-CN"/>
        </w:rPr>
      </w:pPr>
    </w:p>
    <w:p>
      <w:pPr>
        <w:spacing w:line="560" w:lineRule="exact"/>
        <w:rPr>
          <w:rFonts w:hint="eastAsia" w:ascii="黑体" w:hAnsi="黑体" w:eastAsia="黑体" w:cs="黑体"/>
          <w:sz w:val="32"/>
          <w:szCs w:val="32"/>
          <w:lang w:val="en-US" w:eastAsia="zh-CN"/>
        </w:rPr>
      </w:pPr>
    </w:p>
    <w:p>
      <w:pPr>
        <w:spacing w:line="560" w:lineRule="exact"/>
        <w:rPr>
          <w:rFonts w:hint="eastAsia" w:ascii="黑体" w:hAnsi="黑体" w:eastAsia="黑体" w:cs="黑体"/>
          <w:sz w:val="32"/>
          <w:szCs w:val="32"/>
          <w:lang w:val="en-US" w:eastAsia="zh-CN"/>
        </w:rPr>
      </w:pPr>
    </w:p>
    <w:p>
      <w:pPr>
        <w:spacing w:line="560" w:lineRule="exact"/>
        <w:rPr>
          <w:rFonts w:hint="eastAsia" w:ascii="黑体" w:hAnsi="黑体" w:eastAsia="黑体" w:cs="黑体"/>
          <w:sz w:val="32"/>
          <w:szCs w:val="32"/>
          <w:lang w:val="en-US" w:eastAsia="zh-CN"/>
        </w:rPr>
      </w:pPr>
    </w:p>
    <w:p>
      <w:pPr>
        <w:spacing w:line="560" w:lineRule="exact"/>
        <w:rPr>
          <w:rFonts w:hint="eastAsia" w:ascii="黑体" w:hAnsi="黑体" w:eastAsia="黑体" w:cs="黑体"/>
          <w:sz w:val="32"/>
          <w:szCs w:val="32"/>
          <w:lang w:val="en-US" w:eastAsia="zh-CN"/>
        </w:rPr>
      </w:pPr>
    </w:p>
    <w:p>
      <w:pPr>
        <w:spacing w:line="560" w:lineRule="exact"/>
        <w:rPr>
          <w:rFonts w:hint="eastAsia" w:ascii="黑体" w:hAnsi="黑体" w:eastAsia="黑体" w:cs="黑体"/>
          <w:sz w:val="32"/>
          <w:szCs w:val="32"/>
          <w:lang w:val="en-US" w:eastAsia="zh-CN"/>
        </w:rPr>
      </w:pPr>
      <w:bookmarkStart w:id="7" w:name="_GoBack"/>
      <w:bookmarkEnd w:id="7"/>
      <w:r>
        <w:rPr>
          <w:rFonts w:hint="eastAsia" w:ascii="黑体" w:hAnsi="黑体" w:eastAsia="黑体" w:cs="黑体"/>
          <w:sz w:val="32"/>
          <w:szCs w:val="32"/>
          <w:lang w:val="en-US" w:eastAsia="zh-CN"/>
        </w:rPr>
        <w:t>附表</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r>
        <w:rPr>
          <w:rFonts w:hint="eastAsia" w:ascii="方正小标宋简体" w:hAnsi="方正小标宋简体" w:eastAsia="方正小标宋简体" w:cs="Times New Roman"/>
          <w:sz w:val="44"/>
          <w:szCs w:val="44"/>
          <w:highlight w:val="none"/>
          <w:lang w:val="en-US" w:eastAsia="zh-CN" w:bidi="ar-SA"/>
        </w:rPr>
        <w:t>农业银行佛山分行主要对接人名单</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z w:val="44"/>
          <w:szCs w:val="44"/>
          <w:highlight w:val="none"/>
          <w:lang w:val="en-US" w:eastAsia="zh-CN" w:bidi="ar-SA"/>
        </w:rPr>
      </w:pP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50"/>
        <w:gridCol w:w="1971"/>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Align w:val="center"/>
          </w:tcPr>
          <w:p>
            <w:pPr>
              <w:spacing w:line="360" w:lineRule="auto"/>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序号</w:t>
            </w:r>
          </w:p>
        </w:tc>
        <w:tc>
          <w:tcPr>
            <w:tcW w:w="3150" w:type="dxa"/>
            <w:vAlign w:val="center"/>
          </w:tcPr>
          <w:p>
            <w:pPr>
              <w:spacing w:line="360" w:lineRule="auto"/>
              <w:ind w:firstLine="560"/>
              <w:jc w:val="both"/>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部门</w:t>
            </w:r>
            <w:r>
              <w:rPr>
                <w:rFonts w:hint="eastAsia" w:ascii="仿宋_GB2312" w:hAnsi="宋体" w:eastAsia="仿宋_GB2312"/>
                <w:b/>
                <w:bCs/>
                <w:sz w:val="28"/>
                <w:szCs w:val="28"/>
                <w:lang w:val="en-US" w:eastAsia="zh-CN"/>
              </w:rPr>
              <w:t>/支行</w:t>
            </w:r>
          </w:p>
        </w:tc>
        <w:tc>
          <w:tcPr>
            <w:tcW w:w="1971" w:type="dxa"/>
            <w:vAlign w:val="center"/>
          </w:tcPr>
          <w:p>
            <w:pPr>
              <w:spacing w:line="360" w:lineRule="auto"/>
              <w:jc w:val="both"/>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主要对接人</w:t>
            </w:r>
          </w:p>
        </w:tc>
        <w:tc>
          <w:tcPr>
            <w:tcW w:w="1955" w:type="dxa"/>
            <w:vAlign w:val="center"/>
          </w:tcPr>
          <w:p>
            <w:pPr>
              <w:spacing w:line="360" w:lineRule="auto"/>
              <w:jc w:val="both"/>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三水支行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植绍龙</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13902858489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邓国辉</w:t>
            </w:r>
          </w:p>
        </w:tc>
        <w:tc>
          <w:tcPr>
            <w:tcW w:w="1955" w:type="dxa"/>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13928557172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高明支行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黎剑辉</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1392596222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康志恒</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18688225687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p>
        </w:tc>
        <w:tc>
          <w:tcPr>
            <w:tcW w:w="3150" w:type="dxa"/>
            <w:vMerge w:val="restart"/>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lang w:eastAsia="zh-CN"/>
              </w:rPr>
              <w:t>石湾支行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郑雪瑜</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17708648910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rPr>
            </w:pP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何颖怡</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18316952836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华达支行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梁坤然</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13927798747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徐震岳</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13923123812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季华支行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丁亚平</w:t>
            </w:r>
          </w:p>
        </w:tc>
        <w:tc>
          <w:tcPr>
            <w:tcW w:w="1955" w:type="dxa"/>
            <w:vAlign w:val="center"/>
          </w:tcPr>
          <w:p>
            <w:pPr>
              <w:tabs>
                <w:tab w:val="left" w:pos="476"/>
              </w:tabs>
              <w:spacing w:line="360" w:lineRule="auto"/>
              <w:jc w:val="left"/>
              <w:rPr>
                <w:rFonts w:hint="eastAsia" w:ascii="仿宋_GB2312" w:hAnsi="宋体" w:eastAsia="仿宋_GB2312"/>
                <w:sz w:val="28"/>
                <w:szCs w:val="28"/>
                <w:lang w:eastAsia="zh-CN"/>
              </w:rPr>
            </w:pPr>
            <w:r>
              <w:rPr>
                <w:rFonts w:hint="eastAsia" w:ascii="仿宋_GB2312" w:hAnsi="宋体" w:eastAsia="仿宋_GB2312"/>
                <w:sz w:val="28"/>
                <w:szCs w:val="28"/>
                <w:lang w:eastAsia="zh-CN"/>
              </w:rPr>
              <w:t>13929992389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姚振科</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13929938528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祖庙支行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刘天华</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 xml:space="preserve">18566387375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姚永平</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 xml:space="preserve">13809217874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restart"/>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w:t>
            </w:r>
          </w:p>
        </w:tc>
        <w:tc>
          <w:tcPr>
            <w:tcW w:w="3150" w:type="dxa"/>
            <w:vMerge w:val="restart"/>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南庄支行</w:t>
            </w: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张海</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13702931269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4" w:type="dxa"/>
            <w:vMerge w:val="continue"/>
            <w:vAlign w:val="center"/>
          </w:tcPr>
          <w:p>
            <w:pPr>
              <w:spacing w:line="360" w:lineRule="auto"/>
              <w:jc w:val="center"/>
              <w:rPr>
                <w:rFonts w:hint="eastAsia" w:ascii="仿宋_GB2312" w:hAnsi="宋体" w:eastAsia="仿宋_GB2312"/>
                <w:sz w:val="28"/>
                <w:szCs w:val="28"/>
                <w:lang w:val="en-US" w:eastAsia="zh-CN"/>
              </w:rPr>
            </w:pPr>
          </w:p>
        </w:tc>
        <w:tc>
          <w:tcPr>
            <w:tcW w:w="3150" w:type="dxa"/>
            <w:vMerge w:val="continue"/>
            <w:vAlign w:val="center"/>
          </w:tcPr>
          <w:p>
            <w:pPr>
              <w:spacing w:line="360" w:lineRule="auto"/>
              <w:jc w:val="center"/>
              <w:rPr>
                <w:rFonts w:hint="eastAsia" w:ascii="仿宋_GB2312" w:hAnsi="宋体" w:eastAsia="仿宋_GB2312"/>
                <w:sz w:val="28"/>
                <w:szCs w:val="28"/>
                <w:lang w:eastAsia="zh-CN"/>
              </w:rPr>
            </w:pPr>
          </w:p>
        </w:tc>
        <w:tc>
          <w:tcPr>
            <w:tcW w:w="1971" w:type="dxa"/>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王政生</w:t>
            </w:r>
          </w:p>
        </w:tc>
        <w:tc>
          <w:tcPr>
            <w:tcW w:w="1955"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13823462390</w:t>
            </w:r>
          </w:p>
        </w:tc>
      </w:tr>
    </w:tbl>
    <w:p/>
    <w:p>
      <w:pPr>
        <w:rPr>
          <w:rFonts w:hint="eastAsia" w:ascii="仿宋_GB2312" w:hAnsi="仿宋_GB2312" w:eastAsia="仿宋_GB2312" w:cs="仿宋_GB2312"/>
          <w:sz w:val="32"/>
          <w:szCs w:val="32"/>
          <w:lang w:val="en-US" w:eastAsia="zh-CN"/>
        </w:rPr>
        <w:sectPr>
          <w:pgSz w:w="11906" w:h="16838"/>
          <w:pgMar w:top="2097"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pStyle w:val="3"/>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AD015E1"/>
    <w:rsid w:val="1A2F0035"/>
    <w:rsid w:val="602E0BC8"/>
    <w:rsid w:val="7FB635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paragraph" w:styleId="3">
    <w:name w:val="heading 3"/>
    <w:basedOn w:val="1"/>
    <w:next w:val="1"/>
    <w:unhideWhenUsed/>
    <w:qFormat/>
    <w:uiPriority w:val="0"/>
    <w:pPr>
      <w:keepNext/>
      <w:keepLines/>
      <w:numPr>
        <w:ilvl w:val="2"/>
        <w:numId w:val="1"/>
      </w:numPr>
      <w:spacing w:before="120"/>
      <w:outlineLvl w:val="2"/>
    </w:pPr>
    <w:rPr>
      <w:b/>
      <w:sz w:val="28"/>
      <w:szCs w:val="20"/>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New New New New New New New"/>
    <w:next w:val="9"/>
    <w:uiPriority w:val="0"/>
    <w:pPr>
      <w:widowControl w:val="0"/>
      <w:jc w:val="both"/>
    </w:pPr>
    <w:rPr>
      <w:rFonts w:ascii="Calibri" w:hAnsi="Calibri" w:eastAsia="宋体" w:cs="Times New Roman"/>
      <w:kern w:val="2"/>
      <w:sz w:val="21"/>
      <w:szCs w:val="22"/>
      <w:lang w:val="en-US" w:eastAsia="zh-CN"/>
    </w:rPr>
  </w:style>
  <w:style w:type="paragraph" w:customStyle="1" w:styleId="9">
    <w:name w:val="Plain Text"/>
    <w:basedOn w:val="10"/>
    <w:uiPriority w:val="0"/>
    <w:pPr>
      <w:ind w:firstLine="21" w:firstLineChars="200"/>
      <w:jc w:val="left"/>
    </w:pPr>
    <w:rPr>
      <w:rFonts w:ascii="宋体" w:hAnsi="Courier New"/>
      <w:szCs w:val="21"/>
    </w:rPr>
  </w:style>
  <w:style w:type="paragraph" w:customStyle="1" w:styleId="10">
    <w:name w:val="正文 New New New New New New"/>
    <w:uiPriority w:val="0"/>
    <w:pPr>
      <w:widowControl w:val="0"/>
      <w:jc w:val="both"/>
    </w:pPr>
    <w:rPr>
      <w:rFonts w:ascii="Calibri" w:hAnsi="Calibri" w:eastAsia="宋体" w:cs="Times New Roman"/>
      <w:kern w:val="2"/>
      <w:sz w:val="21"/>
      <w:szCs w:val="24"/>
      <w:lang w:val="en-US" w:eastAsia="zh-CN"/>
    </w:rPr>
  </w:style>
  <w:style w:type="paragraph" w:customStyle="1" w:styleId="11">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2">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3">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2021-06-18T03:47:04Z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