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中国人民财产保险股份有限公司佛山市分公司支持佛山市退役军人就业创业服务方案</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b/>
          <w:bCs/>
          <w:sz w:val="36"/>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退役军人工作的重要论述，落实金融支持“六稳”“六保”的重要精神和工作要求，中国人民财产保险股份有限公司佛山市分公司（以下简称“佛山人保”）特制定支持退役军人就业创业服务方案，积极响应党和人民在特殊时期对保险服务的需求与期待，为退役军人提供优先优惠优质的保险综合服务，具体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一、为退役军人企业提供复工复产综合保险服务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为助力退役军人企业复工复产，与退役军人企业同舟共济、攻克时艰，佛山人保为退役军人企业提供复工复产综合保险，为退役军人企业复工复产提供风险保障，助力企业安全、有序复工复产，具体方案如下：</w:t>
      </w:r>
    </w:p>
    <w:tbl>
      <w:tblPr>
        <w:tblStyle w:val="4"/>
        <w:tblW w:w="9414" w:type="dxa"/>
        <w:tblInd w:w="0" w:type="dxa"/>
        <w:shd w:val="clear" w:color="auto" w:fill="FFFFFF"/>
        <w:tblLayout w:type="fixed"/>
        <w:tblCellMar>
          <w:top w:w="0" w:type="dxa"/>
          <w:left w:w="0" w:type="dxa"/>
          <w:bottom w:w="0" w:type="dxa"/>
          <w:right w:w="0" w:type="dxa"/>
        </w:tblCellMar>
      </w:tblPr>
      <w:tblGrid>
        <w:gridCol w:w="4369"/>
        <w:gridCol w:w="5045"/>
      </w:tblGrid>
      <w:tr>
        <w:tblPrEx>
          <w:shd w:val="clear" w:color="auto" w:fill="FFFFFF"/>
          <w:tblCellMar>
            <w:top w:w="0" w:type="dxa"/>
            <w:left w:w="0" w:type="dxa"/>
            <w:bottom w:w="0" w:type="dxa"/>
            <w:right w:w="0" w:type="dxa"/>
          </w:tblCellMar>
        </w:tblPrEx>
        <w:trPr>
          <w:trHeight w:val="355" w:hRule="atLeast"/>
        </w:trPr>
        <w:tc>
          <w:tcPr>
            <w:tcW w:w="43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jc w:val="center"/>
              <w:rPr>
                <w:rFonts w:ascii="仿宋" w:hAnsi="仿宋" w:eastAsia="仿宋" w:cs="宋体"/>
                <w:kern w:val="0"/>
                <w:sz w:val="28"/>
              </w:rPr>
            </w:pPr>
            <w:r>
              <w:rPr>
                <w:rFonts w:hint="eastAsia" w:ascii="仿宋" w:hAnsi="仿宋" w:eastAsia="仿宋" w:cs="宋体"/>
                <w:kern w:val="0"/>
                <w:sz w:val="28"/>
              </w:rPr>
              <w:t>保险责任</w:t>
            </w:r>
          </w:p>
        </w:tc>
        <w:tc>
          <w:tcPr>
            <w:tcW w:w="50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jc w:val="center"/>
              <w:rPr>
                <w:rFonts w:ascii="仿宋" w:hAnsi="仿宋" w:eastAsia="仿宋" w:cs="宋体"/>
                <w:kern w:val="0"/>
                <w:sz w:val="28"/>
              </w:rPr>
            </w:pPr>
            <w:r>
              <w:rPr>
                <w:rFonts w:hint="eastAsia" w:ascii="仿宋" w:hAnsi="仿宋" w:eastAsia="仿宋" w:cs="宋体"/>
                <w:kern w:val="0"/>
                <w:sz w:val="28"/>
              </w:rPr>
              <w:t>保险金额</w:t>
            </w:r>
          </w:p>
        </w:tc>
      </w:tr>
      <w:tr>
        <w:tblPrEx>
          <w:shd w:val="clear" w:color="auto" w:fill="FFFFFF"/>
          <w:tblCellMar>
            <w:top w:w="0" w:type="dxa"/>
            <w:left w:w="0" w:type="dxa"/>
            <w:bottom w:w="0" w:type="dxa"/>
            <w:right w:w="0" w:type="dxa"/>
          </w:tblCellMar>
        </w:tblPrEx>
        <w:trPr>
          <w:trHeight w:val="355" w:hRule="atLeast"/>
        </w:trPr>
        <w:tc>
          <w:tcPr>
            <w:tcW w:w="43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jc w:val="center"/>
              <w:rPr>
                <w:rFonts w:ascii="仿宋" w:hAnsi="仿宋" w:eastAsia="仿宋" w:cs="宋体"/>
                <w:kern w:val="0"/>
                <w:sz w:val="28"/>
              </w:rPr>
            </w:pPr>
            <w:r>
              <w:rPr>
                <w:rFonts w:hint="eastAsia" w:ascii="仿宋" w:hAnsi="仿宋" w:eastAsia="仿宋" w:cs="宋体"/>
                <w:kern w:val="0"/>
                <w:sz w:val="28"/>
              </w:rPr>
              <w:t>集中隔离救助费用救助</w:t>
            </w:r>
          </w:p>
        </w:tc>
        <w:tc>
          <w:tcPr>
            <w:tcW w:w="50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jc w:val="center"/>
              <w:rPr>
                <w:rFonts w:ascii="仿宋" w:hAnsi="仿宋" w:eastAsia="仿宋" w:cs="宋体"/>
                <w:kern w:val="0"/>
                <w:sz w:val="28"/>
              </w:rPr>
            </w:pPr>
            <w:r>
              <w:rPr>
                <w:rFonts w:hint="eastAsia" w:ascii="仿宋" w:hAnsi="仿宋" w:eastAsia="仿宋" w:cs="宋体"/>
                <w:kern w:val="0"/>
                <w:sz w:val="28"/>
              </w:rPr>
              <w:t>1000元/家/日,每家企业最高赔偿1万元</w:t>
            </w:r>
          </w:p>
        </w:tc>
      </w:tr>
      <w:tr>
        <w:tblPrEx>
          <w:shd w:val="clear" w:color="auto" w:fill="FFFFFF"/>
          <w:tblCellMar>
            <w:top w:w="0" w:type="dxa"/>
            <w:left w:w="0" w:type="dxa"/>
            <w:bottom w:w="0" w:type="dxa"/>
            <w:right w:w="0" w:type="dxa"/>
          </w:tblCellMar>
        </w:tblPrEx>
        <w:trPr>
          <w:trHeight w:val="355" w:hRule="atLeast"/>
        </w:trPr>
        <w:tc>
          <w:tcPr>
            <w:tcW w:w="43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jc w:val="center"/>
              <w:rPr>
                <w:rFonts w:ascii="仿宋" w:hAnsi="仿宋" w:eastAsia="仿宋" w:cs="宋体"/>
                <w:kern w:val="0"/>
                <w:sz w:val="28"/>
              </w:rPr>
            </w:pPr>
            <w:r>
              <w:rPr>
                <w:rFonts w:hint="eastAsia" w:ascii="仿宋" w:hAnsi="仿宋" w:eastAsia="仿宋" w:cs="宋体"/>
                <w:kern w:val="0"/>
                <w:sz w:val="28"/>
              </w:rPr>
              <w:t>雇员感染新型冠状病毒导致死亡</w:t>
            </w:r>
          </w:p>
        </w:tc>
        <w:tc>
          <w:tcPr>
            <w:tcW w:w="50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jc w:val="center"/>
              <w:rPr>
                <w:rFonts w:ascii="仿宋" w:hAnsi="仿宋" w:eastAsia="仿宋" w:cs="宋体"/>
                <w:kern w:val="0"/>
                <w:sz w:val="28"/>
              </w:rPr>
            </w:pPr>
            <w:r>
              <w:rPr>
                <w:rFonts w:hint="eastAsia" w:ascii="仿宋" w:hAnsi="仿宋" w:eastAsia="仿宋" w:cs="宋体"/>
                <w:kern w:val="0"/>
                <w:sz w:val="28"/>
              </w:rPr>
              <w:t>20万元/人</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佛山人保为佛山市退役军人企业提供复工复产综合保险保障，退役军人企业也可自主升级保障计划，提升企业风险保障，升级保障方案如下：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（一）企业保障方案</w:t>
      </w:r>
    </w:p>
    <w:tbl>
      <w:tblPr>
        <w:tblStyle w:val="4"/>
        <w:tblW w:w="8405" w:type="dxa"/>
        <w:tblInd w:w="-5" w:type="dxa"/>
        <w:tblLayout w:type="fixed"/>
        <w:tblCellMar>
          <w:top w:w="0" w:type="dxa"/>
          <w:left w:w="108" w:type="dxa"/>
          <w:bottom w:w="0" w:type="dxa"/>
          <w:right w:w="108" w:type="dxa"/>
        </w:tblCellMar>
      </w:tblPr>
      <w:tblGrid>
        <w:gridCol w:w="4678"/>
        <w:gridCol w:w="1843"/>
        <w:gridCol w:w="1884"/>
      </w:tblGrid>
      <w:tr>
        <w:tblPrEx>
          <w:tblCellMar>
            <w:top w:w="0" w:type="dxa"/>
            <w:left w:w="108" w:type="dxa"/>
            <w:bottom w:w="0" w:type="dxa"/>
            <w:right w:w="108" w:type="dxa"/>
          </w:tblCellMar>
        </w:tblPrEx>
        <w:trPr>
          <w:trHeight w:val="202" w:hRule="atLeast"/>
        </w:trPr>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保障内容</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方案二</w:t>
            </w:r>
          </w:p>
        </w:tc>
        <w:tc>
          <w:tcPr>
            <w:tcW w:w="18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方案三</w:t>
            </w:r>
          </w:p>
        </w:tc>
      </w:tr>
      <w:tr>
        <w:tblPrEx>
          <w:tblCellMar>
            <w:top w:w="0" w:type="dxa"/>
            <w:left w:w="108" w:type="dxa"/>
            <w:bottom w:w="0" w:type="dxa"/>
            <w:right w:w="108" w:type="dxa"/>
          </w:tblCellMar>
        </w:tblPrEx>
        <w:trPr>
          <w:trHeight w:val="202" w:hRule="atLeast"/>
        </w:trPr>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火灾、爆炸导致的企业财产损失</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10万</w:t>
            </w:r>
          </w:p>
        </w:tc>
        <w:tc>
          <w:tcPr>
            <w:tcW w:w="18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10万</w:t>
            </w:r>
          </w:p>
        </w:tc>
      </w:tr>
      <w:tr>
        <w:tblPrEx>
          <w:tblCellMar>
            <w:top w:w="0" w:type="dxa"/>
            <w:left w:w="108" w:type="dxa"/>
            <w:bottom w:w="0" w:type="dxa"/>
            <w:right w:w="108" w:type="dxa"/>
          </w:tblCellMar>
        </w:tblPrEx>
        <w:trPr>
          <w:trHeight w:val="841" w:hRule="atLeast"/>
        </w:trPr>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火灾、爆炸及传染病（含新冠肺炎）导致的营业中断损失</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3万元</w:t>
            </w:r>
          </w:p>
        </w:tc>
        <w:tc>
          <w:tcPr>
            <w:tcW w:w="18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8万元</w:t>
            </w:r>
          </w:p>
        </w:tc>
      </w:tr>
      <w:tr>
        <w:tblPrEx>
          <w:tblCellMar>
            <w:top w:w="0" w:type="dxa"/>
            <w:left w:w="108" w:type="dxa"/>
            <w:bottom w:w="0" w:type="dxa"/>
            <w:right w:w="108" w:type="dxa"/>
          </w:tblCellMar>
        </w:tblPrEx>
        <w:trPr>
          <w:trHeight w:val="202" w:hRule="atLeast"/>
        </w:trPr>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每家企业保费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328元</w:t>
            </w:r>
          </w:p>
        </w:tc>
        <w:tc>
          <w:tcPr>
            <w:tcW w:w="18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858元</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（二）雇员保障方案</w:t>
      </w:r>
    </w:p>
    <w:tbl>
      <w:tblPr>
        <w:tblStyle w:val="4"/>
        <w:tblW w:w="8898" w:type="dxa"/>
        <w:jc w:val="center"/>
        <w:tblLayout w:type="fixed"/>
        <w:tblCellMar>
          <w:top w:w="0" w:type="dxa"/>
          <w:left w:w="108" w:type="dxa"/>
          <w:bottom w:w="0" w:type="dxa"/>
          <w:right w:w="108" w:type="dxa"/>
        </w:tblCellMar>
      </w:tblPr>
      <w:tblGrid>
        <w:gridCol w:w="4673"/>
        <w:gridCol w:w="2126"/>
        <w:gridCol w:w="2099"/>
      </w:tblGrid>
      <w:tr>
        <w:tblPrEx>
          <w:tblCellMar>
            <w:top w:w="0" w:type="dxa"/>
            <w:left w:w="108" w:type="dxa"/>
            <w:bottom w:w="0" w:type="dxa"/>
            <w:right w:w="108" w:type="dxa"/>
          </w:tblCellMar>
        </w:tblPrEx>
        <w:trPr>
          <w:trHeight w:val="163" w:hRule="atLeast"/>
          <w:jc w:val="center"/>
        </w:trPr>
        <w:tc>
          <w:tcPr>
            <w:tcW w:w="4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保障内容</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方案二</w:t>
            </w:r>
          </w:p>
        </w:tc>
        <w:tc>
          <w:tcPr>
            <w:tcW w:w="20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方案三</w:t>
            </w:r>
          </w:p>
        </w:tc>
      </w:tr>
      <w:tr>
        <w:tblPrEx>
          <w:tblCellMar>
            <w:top w:w="0" w:type="dxa"/>
            <w:left w:w="108" w:type="dxa"/>
            <w:bottom w:w="0" w:type="dxa"/>
            <w:right w:w="108" w:type="dxa"/>
          </w:tblCellMar>
        </w:tblPrEx>
        <w:trPr>
          <w:trHeight w:val="493" w:hRule="atLeast"/>
          <w:jc w:val="center"/>
        </w:trPr>
        <w:tc>
          <w:tcPr>
            <w:tcW w:w="46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传染病（含新冠肺炎）住院津贴</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 xml:space="preserve">100元/人/天 </w:t>
            </w:r>
          </w:p>
        </w:tc>
        <w:tc>
          <w:tcPr>
            <w:tcW w:w="20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150元/人/天</w:t>
            </w:r>
          </w:p>
        </w:tc>
      </w:tr>
      <w:tr>
        <w:tblPrEx>
          <w:tblCellMar>
            <w:top w:w="0" w:type="dxa"/>
            <w:left w:w="108" w:type="dxa"/>
            <w:bottom w:w="0" w:type="dxa"/>
            <w:right w:w="108" w:type="dxa"/>
          </w:tblCellMar>
        </w:tblPrEx>
        <w:trPr>
          <w:trHeight w:val="163" w:hRule="atLeast"/>
          <w:jc w:val="center"/>
        </w:trPr>
        <w:tc>
          <w:tcPr>
            <w:tcW w:w="46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工伤死亡</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3万元/人</w:t>
            </w:r>
          </w:p>
        </w:tc>
        <w:tc>
          <w:tcPr>
            <w:tcW w:w="20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4万元/人</w:t>
            </w:r>
          </w:p>
        </w:tc>
      </w:tr>
      <w:tr>
        <w:tblPrEx>
          <w:tblCellMar>
            <w:top w:w="0" w:type="dxa"/>
            <w:left w:w="108" w:type="dxa"/>
            <w:bottom w:w="0" w:type="dxa"/>
            <w:right w:w="108" w:type="dxa"/>
          </w:tblCellMar>
        </w:tblPrEx>
        <w:trPr>
          <w:trHeight w:val="328" w:hRule="atLeast"/>
          <w:jc w:val="center"/>
        </w:trPr>
        <w:tc>
          <w:tcPr>
            <w:tcW w:w="46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传染病（含新冠肺炎）死亡</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30万元/人</w:t>
            </w:r>
          </w:p>
        </w:tc>
        <w:tc>
          <w:tcPr>
            <w:tcW w:w="20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40万元/人</w:t>
            </w:r>
          </w:p>
        </w:tc>
      </w:tr>
      <w:tr>
        <w:tblPrEx>
          <w:tblCellMar>
            <w:top w:w="0" w:type="dxa"/>
            <w:left w:w="108" w:type="dxa"/>
            <w:bottom w:w="0" w:type="dxa"/>
            <w:right w:w="108" w:type="dxa"/>
          </w:tblCellMar>
        </w:tblPrEx>
        <w:trPr>
          <w:trHeight w:val="163" w:hRule="atLeast"/>
          <w:jc w:val="center"/>
        </w:trPr>
        <w:tc>
          <w:tcPr>
            <w:tcW w:w="46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保费</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75元/人</w:t>
            </w:r>
          </w:p>
        </w:tc>
        <w:tc>
          <w:tcPr>
            <w:tcW w:w="20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98元/人</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方案说明：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1、升级方案适用于企业营业场所在佛山市内，且企业人数小于300人，投保员工年龄不超65周岁。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2、升级方案对于：海绵制造业、化学原料和化学制品制造、废旧塑料加工、仓储、家具制造、木材加工及木/竹/藤/棕/草制品、皮革/皮毛/羽毛（绒）及其制品、汽车零部件及配件制造企业不予承保。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3、升级方案对于企业员工在保险期限开始前确诊罹患甲类或乙类法定传染病的，或因疑似罹患甲类或乙类法定传染病或因与疑似罹患甲类或乙类法定传染病人密切接触而被隔离的，属于保险免责范围。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4、火灾、爆炸导致的企业财产损失，每次事故绝对免赔额为500元；火灾、爆炸及传染病（含新冠肺炎）导致的营业中断损失每次事故绝对免赔额为3天。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二、解决退役军人企业融资难问题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佛山市金融工作局联合佛山人保开展的《中小企业贷款保证保险》项目，为退役军人企业单位提供融资增信服务，由企业向保险公司投保该产品，银行以此作为主要担保方式向企业发放小额短期流动资金贷款，在借款人未按约偿还贷款时保险公司向银行承担贷款损失赔偿责任。只要在佛山注册满一年的企业均可进行申请，首次申请最高额度为300万元，利率低于市场贷且最快1天内放款。在防疫期间，更好地解决退役军人企业融资难、融资慢的问题，形成企业能贷，银行敢放，保险敢保的良好局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三、为退役军人定制特色医疗补充保险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近几年出台了一些补贴政策，但是还是没有全面解决这些曾经为国家做出牺牲、奉献的老兵们的生活、工作风险保障问题，要从根本上解决老兵们的后顾之忧，还需要政府和社会相关机构的共同努力。尤其是要利用好商业保险这类已经有专业成熟风险管理经验的工具，将退役军人的风险保障交由市场运作也是社会主义市场经济发展的必然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为了更好的服务我市退役军人，为落户我市的退役军人提供坚实的风险保障，佛山人保制定退役军人特色医疗补充保险：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tbl>
      <w:tblPr>
        <w:tblStyle w:val="4"/>
        <w:tblW w:w="8952" w:type="dxa"/>
        <w:tblInd w:w="0" w:type="dxa"/>
        <w:tblLayout w:type="fixed"/>
        <w:tblCellMar>
          <w:top w:w="0" w:type="dxa"/>
          <w:left w:w="108" w:type="dxa"/>
          <w:bottom w:w="0" w:type="dxa"/>
          <w:right w:w="108" w:type="dxa"/>
        </w:tblCellMar>
      </w:tblPr>
      <w:tblGrid>
        <w:gridCol w:w="2405"/>
        <w:gridCol w:w="1843"/>
        <w:gridCol w:w="4704"/>
      </w:tblGrid>
      <w:tr>
        <w:tblPrEx>
          <w:tblCellMar>
            <w:top w:w="0" w:type="dxa"/>
            <w:left w:w="108" w:type="dxa"/>
            <w:bottom w:w="0" w:type="dxa"/>
            <w:right w:w="108" w:type="dxa"/>
          </w:tblCellMar>
        </w:tblPrEx>
        <w:trPr>
          <w:trHeight w:val="460"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保障项目</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保险金额</w:t>
            </w:r>
          </w:p>
        </w:tc>
        <w:tc>
          <w:tcPr>
            <w:tcW w:w="47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备注</w:t>
            </w:r>
          </w:p>
        </w:tc>
      </w:tr>
      <w:tr>
        <w:tblPrEx>
          <w:tblCellMar>
            <w:top w:w="0" w:type="dxa"/>
            <w:left w:w="108" w:type="dxa"/>
            <w:bottom w:w="0" w:type="dxa"/>
            <w:right w:w="108" w:type="dxa"/>
          </w:tblCellMar>
        </w:tblPrEx>
        <w:trPr>
          <w:trHeight w:val="416" w:hRule="atLeast"/>
        </w:trPr>
        <w:tc>
          <w:tcPr>
            <w:tcW w:w="24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住院医疗费用补充赔偿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5万</w:t>
            </w:r>
          </w:p>
        </w:tc>
        <w:tc>
          <w:tcPr>
            <w:tcW w:w="470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rPr>
              <w:t>对于被保险人在其社会基本医疗保险定点医疗机构就医所支出的、符合当地社会基本医疗保险统筹基金规定范围的合理医疗费用，在基本医保和大病保险等赔付后的剩余部分，按照90%赔付。</w:t>
            </w:r>
          </w:p>
        </w:tc>
      </w:tr>
      <w:tr>
        <w:tblPrEx>
          <w:tblCellMar>
            <w:top w:w="0" w:type="dxa"/>
            <w:left w:w="108" w:type="dxa"/>
            <w:bottom w:w="0" w:type="dxa"/>
            <w:right w:w="108" w:type="dxa"/>
          </w:tblCellMar>
        </w:tblPrEx>
        <w:trPr>
          <w:trHeight w:val="620" w:hRule="atLeast"/>
        </w:trPr>
        <w:tc>
          <w:tcPr>
            <w:tcW w:w="24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25种重大疾病确诊给付赔偿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5万</w:t>
            </w:r>
          </w:p>
        </w:tc>
        <w:tc>
          <w:tcPr>
            <w:tcW w:w="470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基准等待期60天</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方案可根据政府及退役军人实际需求进行调整，再按照投保人数、投保年龄等因素测算保费。</w:t>
      </w:r>
    </w:p>
    <w:p>
      <w:pPr>
        <w:keepNext w:val="0"/>
        <w:keepLines w:val="0"/>
        <w:pageBreakBefore w:val="0"/>
        <w:widowControl w:val="0"/>
        <w:kinsoku/>
        <w:wordWrap/>
        <w:overflowPunct/>
        <w:topLinePunct w:val="0"/>
        <w:autoSpaceDE/>
        <w:autoSpaceDN/>
        <w:bidi w:val="0"/>
        <w:adjustRightInd/>
        <w:snapToGrid/>
        <w:spacing w:line="460" w:lineRule="exact"/>
        <w:ind w:firstLine="281" w:firstLineChars="100"/>
        <w:jc w:val="left"/>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附表</w:t>
      </w:r>
      <w:r>
        <w:rPr>
          <w:rFonts w:hint="eastAsia" w:ascii="黑体" w:hAnsi="黑体" w:eastAsia="黑体" w:cs="黑体"/>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val="0"/>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中国人民财产保险股份有限公司佛山市分公司工作联络人</w:t>
      </w:r>
    </w:p>
    <w:tbl>
      <w:tblPr>
        <w:tblStyle w:val="4"/>
        <w:tblW w:w="8728" w:type="dxa"/>
        <w:jc w:val="center"/>
        <w:tblLayout w:type="fixed"/>
        <w:tblCellMar>
          <w:top w:w="0" w:type="dxa"/>
          <w:left w:w="108" w:type="dxa"/>
          <w:bottom w:w="0" w:type="dxa"/>
          <w:right w:w="108" w:type="dxa"/>
        </w:tblCellMar>
      </w:tblPr>
      <w:tblGrid>
        <w:gridCol w:w="1887"/>
        <w:gridCol w:w="2543"/>
        <w:gridCol w:w="2139"/>
        <w:gridCol w:w="2159"/>
      </w:tblGrid>
      <w:tr>
        <w:tblPrEx>
          <w:tblCellMar>
            <w:top w:w="0" w:type="dxa"/>
            <w:left w:w="108" w:type="dxa"/>
            <w:bottom w:w="0" w:type="dxa"/>
            <w:right w:w="108" w:type="dxa"/>
          </w:tblCellMar>
        </w:tblPrEx>
        <w:trPr>
          <w:trHeight w:val="382" w:hRule="atLeast"/>
          <w:jc w:val="center"/>
        </w:trPr>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rPr>
            </w:pPr>
            <w:r>
              <w:rPr>
                <w:rFonts w:hint="eastAsia" w:ascii="仿宋" w:hAnsi="仿宋" w:eastAsia="仿宋" w:cs="宋体"/>
                <w:b/>
                <w:bCs/>
                <w:color w:val="000000"/>
                <w:kern w:val="0"/>
                <w:sz w:val="28"/>
              </w:rPr>
              <w:t>序号</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rPr>
            </w:pPr>
            <w:r>
              <w:rPr>
                <w:rFonts w:hint="eastAsia" w:ascii="仿宋" w:hAnsi="仿宋" w:eastAsia="仿宋" w:cs="宋体"/>
                <w:b/>
                <w:bCs/>
                <w:color w:val="000000"/>
                <w:kern w:val="0"/>
                <w:sz w:val="28"/>
              </w:rPr>
              <w:t>区域</w:t>
            </w:r>
          </w:p>
        </w:tc>
        <w:tc>
          <w:tcPr>
            <w:tcW w:w="2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rPr>
            </w:pPr>
            <w:r>
              <w:rPr>
                <w:rFonts w:hint="eastAsia" w:ascii="仿宋" w:hAnsi="仿宋" w:eastAsia="仿宋" w:cs="宋体"/>
                <w:b/>
                <w:bCs/>
                <w:color w:val="000000"/>
                <w:kern w:val="0"/>
                <w:sz w:val="28"/>
              </w:rPr>
              <w:t>联系人</w:t>
            </w:r>
          </w:p>
        </w:tc>
        <w:tc>
          <w:tcPr>
            <w:tcW w:w="21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rPr>
            </w:pPr>
            <w:r>
              <w:rPr>
                <w:rFonts w:hint="eastAsia" w:ascii="仿宋" w:hAnsi="仿宋" w:eastAsia="仿宋" w:cs="宋体"/>
                <w:b/>
                <w:bCs/>
                <w:color w:val="000000"/>
                <w:kern w:val="0"/>
                <w:sz w:val="28"/>
              </w:rPr>
              <w:t>联系电话</w:t>
            </w:r>
          </w:p>
        </w:tc>
      </w:tr>
      <w:tr>
        <w:tblPrEx>
          <w:tblCellMar>
            <w:top w:w="0" w:type="dxa"/>
            <w:left w:w="108" w:type="dxa"/>
            <w:bottom w:w="0" w:type="dxa"/>
            <w:right w:w="108" w:type="dxa"/>
          </w:tblCellMar>
        </w:tblPrEx>
        <w:trPr>
          <w:trHeight w:val="382" w:hRule="atLeast"/>
          <w:jc w:val="center"/>
        </w:trPr>
        <w:tc>
          <w:tcPr>
            <w:tcW w:w="1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w:t>
            </w:r>
          </w:p>
        </w:tc>
        <w:tc>
          <w:tcPr>
            <w:tcW w:w="25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禅城区</w:t>
            </w:r>
          </w:p>
        </w:tc>
        <w:tc>
          <w:tcPr>
            <w:tcW w:w="21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杨家樑</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15622307177</w:t>
            </w:r>
          </w:p>
        </w:tc>
      </w:tr>
      <w:tr>
        <w:tblPrEx>
          <w:tblCellMar>
            <w:top w:w="0" w:type="dxa"/>
            <w:left w:w="108" w:type="dxa"/>
            <w:bottom w:w="0" w:type="dxa"/>
            <w:right w:w="108" w:type="dxa"/>
          </w:tblCellMar>
        </w:tblPrEx>
        <w:trPr>
          <w:trHeight w:val="382" w:hRule="atLeast"/>
          <w:jc w:val="center"/>
        </w:trPr>
        <w:tc>
          <w:tcPr>
            <w:tcW w:w="1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2</w:t>
            </w:r>
          </w:p>
        </w:tc>
        <w:tc>
          <w:tcPr>
            <w:tcW w:w="25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南海区</w:t>
            </w:r>
          </w:p>
        </w:tc>
        <w:tc>
          <w:tcPr>
            <w:tcW w:w="21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卢翠仪</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13202886408</w:t>
            </w:r>
          </w:p>
        </w:tc>
      </w:tr>
      <w:tr>
        <w:tblPrEx>
          <w:tblCellMar>
            <w:top w:w="0" w:type="dxa"/>
            <w:left w:w="108" w:type="dxa"/>
            <w:bottom w:w="0" w:type="dxa"/>
            <w:right w:w="108" w:type="dxa"/>
          </w:tblCellMar>
        </w:tblPrEx>
        <w:trPr>
          <w:trHeight w:val="382" w:hRule="atLeast"/>
          <w:jc w:val="center"/>
        </w:trPr>
        <w:tc>
          <w:tcPr>
            <w:tcW w:w="1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3</w:t>
            </w:r>
          </w:p>
        </w:tc>
        <w:tc>
          <w:tcPr>
            <w:tcW w:w="25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三水区</w:t>
            </w:r>
          </w:p>
        </w:tc>
        <w:tc>
          <w:tcPr>
            <w:tcW w:w="21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吕海杰</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13250379832</w:t>
            </w:r>
          </w:p>
        </w:tc>
      </w:tr>
      <w:tr>
        <w:tblPrEx>
          <w:tblCellMar>
            <w:top w:w="0" w:type="dxa"/>
            <w:left w:w="108" w:type="dxa"/>
            <w:bottom w:w="0" w:type="dxa"/>
            <w:right w:w="108" w:type="dxa"/>
          </w:tblCellMar>
        </w:tblPrEx>
        <w:trPr>
          <w:trHeight w:val="382" w:hRule="atLeast"/>
          <w:jc w:val="center"/>
        </w:trPr>
        <w:tc>
          <w:tcPr>
            <w:tcW w:w="1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4</w:t>
            </w:r>
          </w:p>
        </w:tc>
        <w:tc>
          <w:tcPr>
            <w:tcW w:w="25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顺德区</w:t>
            </w:r>
          </w:p>
        </w:tc>
        <w:tc>
          <w:tcPr>
            <w:tcW w:w="21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杨景锋</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13420835295</w:t>
            </w:r>
          </w:p>
        </w:tc>
      </w:tr>
      <w:tr>
        <w:tblPrEx>
          <w:tblCellMar>
            <w:top w:w="0" w:type="dxa"/>
            <w:left w:w="108" w:type="dxa"/>
            <w:bottom w:w="0" w:type="dxa"/>
            <w:right w:w="108" w:type="dxa"/>
          </w:tblCellMar>
        </w:tblPrEx>
        <w:trPr>
          <w:trHeight w:val="382" w:hRule="atLeast"/>
          <w:jc w:val="center"/>
        </w:trPr>
        <w:tc>
          <w:tcPr>
            <w:tcW w:w="1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5</w:t>
            </w:r>
          </w:p>
        </w:tc>
        <w:tc>
          <w:tcPr>
            <w:tcW w:w="25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高明区</w:t>
            </w:r>
          </w:p>
        </w:tc>
        <w:tc>
          <w:tcPr>
            <w:tcW w:w="21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李丽娟</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18024919259</w:t>
            </w:r>
          </w:p>
        </w:tc>
      </w:tr>
      <w:tr>
        <w:tblPrEx>
          <w:tblCellMar>
            <w:top w:w="0" w:type="dxa"/>
            <w:left w:w="108" w:type="dxa"/>
            <w:bottom w:w="0" w:type="dxa"/>
            <w:right w:w="108" w:type="dxa"/>
          </w:tblCellMar>
        </w:tblPrEx>
        <w:trPr>
          <w:trHeight w:val="382" w:hRule="atLeast"/>
          <w:jc w:val="center"/>
        </w:trPr>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6</w:t>
            </w:r>
          </w:p>
        </w:tc>
        <w:tc>
          <w:tcPr>
            <w:tcW w:w="2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中小企业贷款</w:t>
            </w:r>
          </w:p>
        </w:tc>
        <w:tc>
          <w:tcPr>
            <w:tcW w:w="2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郑乘雷</w:t>
            </w:r>
          </w:p>
        </w:tc>
        <w:tc>
          <w:tcPr>
            <w:tcW w:w="21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8"/>
              </w:rPr>
            </w:pPr>
            <w:r>
              <w:rPr>
                <w:rFonts w:hint="eastAsia" w:ascii="仿宋" w:hAnsi="仿宋" w:eastAsia="仿宋" w:cs="宋体"/>
                <w:color w:val="000000"/>
                <w:kern w:val="0"/>
                <w:sz w:val="28"/>
              </w:rPr>
              <w:t>18318895045</w:t>
            </w:r>
          </w:p>
        </w:tc>
      </w:tr>
    </w:tbl>
    <w:p>
      <w:pPr>
        <w:rPr>
          <w:rFonts w:ascii="仿宋" w:hAnsi="仿宋" w:eastAsia="仿宋"/>
          <w:sz w:val="28"/>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23"/>
    <w:rsid w:val="001170EE"/>
    <w:rsid w:val="001A7ABD"/>
    <w:rsid w:val="003D128F"/>
    <w:rsid w:val="00402ABB"/>
    <w:rsid w:val="0042147B"/>
    <w:rsid w:val="004A122A"/>
    <w:rsid w:val="005372BE"/>
    <w:rsid w:val="005D3D75"/>
    <w:rsid w:val="00666928"/>
    <w:rsid w:val="006D0A47"/>
    <w:rsid w:val="007070C6"/>
    <w:rsid w:val="00714135"/>
    <w:rsid w:val="00722BB9"/>
    <w:rsid w:val="00767271"/>
    <w:rsid w:val="007F15E6"/>
    <w:rsid w:val="008F3E32"/>
    <w:rsid w:val="009B24DB"/>
    <w:rsid w:val="009E2B1F"/>
    <w:rsid w:val="00A12B03"/>
    <w:rsid w:val="00A6207D"/>
    <w:rsid w:val="00AA2503"/>
    <w:rsid w:val="00B839A4"/>
    <w:rsid w:val="00BE29B1"/>
    <w:rsid w:val="00C24812"/>
    <w:rsid w:val="00C8777D"/>
    <w:rsid w:val="00CC1023"/>
    <w:rsid w:val="00E16CE9"/>
    <w:rsid w:val="00E22007"/>
    <w:rsid w:val="00EB6628"/>
    <w:rsid w:val="00F04CBE"/>
    <w:rsid w:val="00F12644"/>
    <w:rsid w:val="00F30690"/>
    <w:rsid w:val="00F4278B"/>
    <w:rsid w:val="00F56A87"/>
    <w:rsid w:val="00FE3506"/>
    <w:rsid w:val="01A144A2"/>
    <w:rsid w:val="03E73697"/>
    <w:rsid w:val="08EB148D"/>
    <w:rsid w:val="13DD13A5"/>
    <w:rsid w:val="219A5AB1"/>
    <w:rsid w:val="23C07805"/>
    <w:rsid w:val="25A9251B"/>
    <w:rsid w:val="4F03166C"/>
    <w:rsid w:val="752F6155"/>
    <w:rsid w:val="77B5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TotalTime>176</TotalTime>
  <ScaleCrop>false</ScaleCrop>
  <LinksUpToDate>false</LinksUpToDate>
  <CharactersWithSpaces>1836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2020-06-26T03:58:00Z</dcterms:created>
  <dc:creator>瑞炜 李</dc:creator>
  <cp:lastModifiedBy>liuyi</cp:lastModifiedBy>
  <cp:lastPrinted>2020-06-30T10:27:00Z</cp:lastPrinted>
  <dcterms:modified xsi:type="dcterms:W3CDTF">2020-08-04T02:34:08Z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