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中信银行佛山分行支持</w:t>
      </w:r>
      <w:r>
        <w:rPr>
          <w:rFonts w:hint="eastAsia" w:ascii="方正小标宋简体" w:hAnsi="方正小标宋简体" w:eastAsia="方正小标宋简体" w:cs="方正小标宋简体"/>
          <w:b w:val="0"/>
          <w:bCs/>
          <w:sz w:val="44"/>
          <w:szCs w:val="44"/>
          <w:lang w:val="en-US" w:eastAsia="zh-CN"/>
        </w:rPr>
        <w:t>外贸企业发展</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金融综合服务</w:t>
      </w:r>
      <w:r>
        <w:rPr>
          <w:rFonts w:hint="eastAsia" w:ascii="方正小标宋简体" w:hAnsi="方正小标宋简体" w:eastAsia="方正小标宋简体" w:cs="方正小标宋简体"/>
          <w:b w:val="0"/>
          <w:bCs/>
          <w:sz w:val="44"/>
          <w:szCs w:val="44"/>
        </w:rPr>
        <w:t>方案</w:t>
      </w:r>
    </w:p>
    <w:p>
      <w:pPr>
        <w:pStyle w:val="5"/>
        <w:keepNext w:val="0"/>
        <w:keepLines w:val="0"/>
        <w:pageBreakBefore w:val="0"/>
        <w:kinsoku/>
        <w:wordWrap/>
        <w:overflowPunct/>
        <w:topLinePunct w:val="0"/>
        <w:autoSpaceDE/>
        <w:autoSpaceDN/>
        <w:bidi w:val="0"/>
        <w:adjustRightInd w:val="0"/>
        <w:snapToGrid w:val="0"/>
        <w:spacing w:line="560" w:lineRule="exact"/>
        <w:ind w:left="280" w:firstLine="0"/>
        <w:textAlignment w:val="auto"/>
        <w:outlineLvl w:val="9"/>
        <w:rPr>
          <w:rFonts w:hint="eastAsia" w:ascii="Calibri" w:hAnsi="Calibri" w:eastAsia="宋体"/>
          <w:kern w:val="2"/>
          <w:sz w:val="28"/>
          <w:szCs w:val="28"/>
        </w:rPr>
      </w:pPr>
    </w:p>
    <w:p>
      <w:pPr>
        <w:pStyle w:val="5"/>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为贯彻落实金融支持“六稳”“六保”的重要精神和工作要求，稳定居民就业， 保障基本民生， 我行在</w:t>
      </w:r>
      <w:r>
        <w:rPr>
          <w:rFonts w:hint="eastAsia" w:ascii="仿宋_GB2312" w:hAnsi="仿宋_GB2312" w:eastAsia="仿宋_GB2312" w:cs="仿宋_GB2312"/>
          <w:kern w:val="2"/>
          <w:sz w:val="32"/>
          <w:szCs w:val="32"/>
          <w:lang w:eastAsia="zh-CN"/>
        </w:rPr>
        <w:t>稳外贸、</w:t>
      </w:r>
      <w:r>
        <w:rPr>
          <w:rFonts w:hint="eastAsia" w:ascii="仿宋_GB2312" w:hAnsi="仿宋_GB2312" w:eastAsia="仿宋_GB2312" w:cs="仿宋_GB2312"/>
          <w:kern w:val="2"/>
          <w:sz w:val="32"/>
          <w:szCs w:val="32"/>
        </w:rPr>
        <w:t>稳投资制定了全方位、深层次金融服务支持方案，解决企业实际金融需求。</w:t>
      </w:r>
    </w:p>
    <w:p>
      <w:pPr>
        <w:pStyle w:val="4"/>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小微出口企业融资便利化</w:t>
      </w:r>
    </w:p>
    <w:p>
      <w:pPr>
        <w:pStyle w:val="5"/>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当前新冠疫情防控常态化，国家出台了系列金融扶持政策助力外贸小微企业复工复产，为积极响应国家号召，帮助企业渡过难关，中信银行与百信银行联合研发结算协同融资百兴贷产品（以下简称“百兴贷”），为出口企业提供短期融资服务。</w:t>
      </w:r>
    </w:p>
    <w:p>
      <w:pPr>
        <w:pStyle w:val="5"/>
        <w:keepNext w:val="0"/>
        <w:keepLines w:val="0"/>
        <w:pageBreakBefore w:val="0"/>
        <w:kinsoku/>
        <w:wordWrap/>
        <w:overflowPunct/>
        <w:topLinePunct w:val="0"/>
        <w:autoSpaceDE/>
        <w:autoSpaceDN/>
        <w:bidi w:val="0"/>
        <w:adjustRightInd w:val="0"/>
        <w:snapToGrid w:val="0"/>
        <w:spacing w:line="560" w:lineRule="exact"/>
        <w:ind w:firstLine="56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产品特点：</w:t>
      </w:r>
      <w:r>
        <w:rPr>
          <w:rFonts w:hint="eastAsia" w:ascii="仿宋_GB2312" w:hAnsi="仿宋_GB2312" w:eastAsia="仿宋_GB2312" w:cs="仿宋_GB2312"/>
          <w:kern w:val="2"/>
          <w:sz w:val="32"/>
          <w:szCs w:val="32"/>
        </w:rPr>
        <w:t>“百兴贷”无需抵质押、全线上申请办理、放款速度快，能有效满足外贸小微企业的“短小频急”的融资诉求。无需在百信银行额外开立账户即可办理，依托中信银行网点服务全国客户。灵活匹配企业应收账期，授信额度和放款额度关联业务量动态增长。</w:t>
      </w:r>
    </w:p>
    <w:p>
      <w:pPr>
        <w:pStyle w:val="5"/>
        <w:keepNext w:val="0"/>
        <w:keepLines w:val="0"/>
        <w:pageBreakBefore w:val="0"/>
        <w:kinsoku/>
        <w:wordWrap/>
        <w:overflowPunct/>
        <w:topLinePunct w:val="0"/>
        <w:autoSpaceDE/>
        <w:autoSpaceDN/>
        <w:bidi w:val="0"/>
        <w:adjustRightInd w:val="0"/>
        <w:snapToGrid w:val="0"/>
        <w:spacing w:line="560" w:lineRule="exact"/>
        <w:ind w:firstLine="56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适用客户群：</w:t>
      </w:r>
      <w:r>
        <w:rPr>
          <w:rFonts w:hint="eastAsia" w:ascii="仿宋_GB2312" w:hAnsi="仿宋_GB2312" w:eastAsia="仿宋_GB2312" w:cs="仿宋_GB2312"/>
          <w:kern w:val="2"/>
          <w:sz w:val="32"/>
          <w:szCs w:val="32"/>
        </w:rPr>
        <w:t>专属服务传统银行信贷业务无法顾及的出口贸易型“长尾客群”，包括不限于外贸出口型小微企业、外贸综合服务平台出口商户以及跨境电子商务中的个体商户等各平台类出口贸易型小微企业，与境外进口商采用汇款方式结算，且在中信银行办理收汇6个月以上。</w:t>
      </w: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二、</w:t>
      </w:r>
      <w:r>
        <w:rPr>
          <w:rFonts w:hint="eastAsia" w:ascii="黑体" w:hAnsi="黑体" w:eastAsia="黑体" w:cs="黑体"/>
          <w:b w:val="0"/>
          <w:bCs w:val="0"/>
          <w:sz w:val="32"/>
          <w:szCs w:val="32"/>
          <w:lang w:val="en-US" w:eastAsia="zh-CN"/>
        </w:rPr>
        <w:t>信贷支持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人民币流动资金贷款：</w:t>
      </w:r>
      <w:r>
        <w:rPr>
          <w:rFonts w:hint="eastAsia" w:ascii="仿宋_GB2312" w:hAnsi="仿宋_GB2312" w:eastAsia="仿宋_GB2312" w:cs="仿宋_GB2312"/>
          <w:sz w:val="32"/>
          <w:szCs w:val="32"/>
        </w:rPr>
        <w:t>贷款用途灵活，满足企业日常经营周转需求。期限最长3年，可满足企业短期及中期流动资金需要。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中长期贷款：</w:t>
      </w:r>
      <w:r>
        <w:rPr>
          <w:rFonts w:hint="eastAsia" w:ascii="仿宋_GB2312" w:hAnsi="仿宋_GB2312" w:eastAsia="仿宋_GB2312" w:cs="仿宋_GB2312"/>
          <w:sz w:val="32"/>
          <w:szCs w:val="32"/>
        </w:rPr>
        <w:t xml:space="preserve"> 根据项目现金流及综合效益还款情况合理确定贷款期限，最长可10年。担保方式原则上采用抵质押担保方式，对于抵质押担保不足的，可采取保证担保方式。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、跨境结算便利化</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1、跨境电商收款产品—信银致汇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信银行深入研究国家外汇管理局、中国人民银行关于跨境电商、跨境支付管理的政策，今年推出“信银致汇”，该产品是中信银行为开展跨境电子商务全球收结汇业务设计研发的互联网开放式平台，向符合中信银行准入条件的境内跨境电子商务经营者（个人或企业）提供全线上开户认证、开立境外收款账户、国际收支申报、结售汇登记、极速提现到账、普惠金融等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产品特点：为境内跨境电商卖家提供安全合规、提现极速到账、更低成本、汇率透明、操作便捷的服务。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2、市场采购线上自动化收结汇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中信银行为在政府联网平台注册的具有市场采购资质的个体工商户/小微企业提供的包括开户、签约、线</w:t>
      </w:r>
      <w:r>
        <w:rPr>
          <w:rFonts w:hint="eastAsia" w:ascii="仿宋_GB2312" w:hAnsi="仿宋_GB2312" w:eastAsia="仿宋_GB2312" w:cs="仿宋_GB2312"/>
          <w:sz w:val="32"/>
          <w:szCs w:val="32"/>
          <w:lang w:eastAsia="zh-CN"/>
        </w:rPr>
        <w:t>上自动化</w:t>
      </w:r>
      <w:r>
        <w:rPr>
          <w:rFonts w:hint="eastAsia" w:ascii="仿宋_GB2312" w:hAnsi="仿宋_GB2312" w:eastAsia="仿宋_GB2312" w:cs="仿宋_GB2312"/>
          <w:sz w:val="32"/>
          <w:szCs w:val="32"/>
        </w:rPr>
        <w:t>收结汇、 国际收支申报等金融服务。</w:t>
      </w: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产品优势：</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（1）根据试点地区外管政策，中信银行可为个体工商户开立外汇结算账户，使出口收汇更为便捷;</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（2）个体工商户/小微企业可通过中信银行与政府联网平台的连接系统，在线实现自动结汇及实时结汇额度查询;</w:t>
      </w:r>
    </w:p>
    <w:p>
      <w:pPr>
        <w:keepNext w:val="0"/>
        <w:keepLines w:val="0"/>
        <w:pageBreakBefore w:val="0"/>
        <w:kinsoku/>
        <w:wordWrap/>
        <w:overflowPunct/>
        <w:topLinePunct w:val="0"/>
        <w:autoSpaceDE/>
        <w:autoSpaceDN/>
        <w:bidi w:val="0"/>
        <w:adjustRightInd w:val="0"/>
        <w:snapToGrid w:val="0"/>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（3）中信银行同时提供线上自动收汇功能，可结合外综服产品为个体工商户/小微企业带来更快捷的收结汇一体化服务。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3、线上结算便利化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中信银行今年初陆续推出系列自动化的结算系统，以方便客户足不出户办理业务，提高效率。如一般贸易线上自动化收汇、具有实时汇率查询、走势分析、线</w:t>
      </w:r>
      <w:r>
        <w:rPr>
          <w:rFonts w:hint="eastAsia" w:ascii="仿宋_GB2312" w:hAnsi="仿宋_GB2312" w:eastAsia="仿宋_GB2312" w:cs="仿宋_GB2312"/>
          <w:sz w:val="32"/>
          <w:szCs w:val="32"/>
          <w:lang w:eastAsia="zh-CN"/>
        </w:rPr>
        <w:t>上结售汇</w:t>
      </w:r>
      <w:r>
        <w:rPr>
          <w:rFonts w:hint="eastAsia" w:ascii="仿宋_GB2312" w:hAnsi="仿宋_GB2312" w:eastAsia="仿宋_GB2312" w:cs="仿宋_GB2312"/>
          <w:sz w:val="32"/>
          <w:szCs w:val="32"/>
        </w:rPr>
        <w:t>等多种功能的外汇交易通、</w:t>
      </w:r>
      <w:r>
        <w:rPr>
          <w:rFonts w:hint="eastAsia" w:ascii="仿宋_GB2312" w:hAnsi="仿宋_GB2312" w:eastAsia="仿宋_GB2312" w:cs="仿宋_GB2312"/>
          <w:sz w:val="32"/>
          <w:szCs w:val="32"/>
          <w:lang w:eastAsia="zh-CN"/>
        </w:rPr>
        <w:t>网银</w:t>
      </w:r>
      <w:r>
        <w:rPr>
          <w:rFonts w:hint="eastAsia" w:ascii="仿宋_GB2312" w:hAnsi="仿宋_GB2312" w:eastAsia="仿宋_GB2312" w:cs="仿宋_GB2312"/>
          <w:sz w:val="32"/>
          <w:szCs w:val="32"/>
        </w:rPr>
        <w:t>汇款</w:t>
      </w:r>
      <w:r>
        <w:rPr>
          <w:rFonts w:hint="eastAsia" w:ascii="仿宋_GB2312" w:hAnsi="仿宋_GB2312" w:eastAsia="仿宋_GB2312" w:cs="仿宋_GB2312"/>
          <w:sz w:val="32"/>
          <w:szCs w:val="32"/>
          <w:lang w:eastAsia="zh-CN"/>
        </w:rPr>
        <w:t>、批量汇款、信用证开立、银企直联定制服务</w:t>
      </w:r>
      <w:r>
        <w:rPr>
          <w:rFonts w:hint="eastAsia" w:ascii="仿宋_GB2312" w:hAnsi="仿宋_GB2312" w:eastAsia="仿宋_GB2312" w:cs="仿宋_GB2312"/>
          <w:sz w:val="32"/>
          <w:szCs w:val="32"/>
        </w:rPr>
        <w:t>等。</w:t>
      </w:r>
      <w:bookmarkStart w:id="0" w:name="_GoBack"/>
      <w:bookmarkEnd w:id="0"/>
    </w:p>
    <w:p>
      <w:pPr>
        <w:spacing w:line="560" w:lineRule="exact"/>
        <w:ind w:firstLine="560" w:firstLineChars="200"/>
        <w:rPr>
          <w:rFonts w:hint="eastAsia"/>
          <w:sz w:val="28"/>
          <w:szCs w:val="28"/>
        </w:rPr>
      </w:pPr>
    </w:p>
    <w:p>
      <w:pPr>
        <w:spacing w:line="560" w:lineRule="exact"/>
        <w:ind w:firstLine="560" w:firstLineChars="200"/>
        <w:rPr>
          <w:rFonts w:hint="eastAsia" w:ascii="方正小标宋简体" w:hAnsi="方正小标宋简体" w:eastAsia="方正小标宋简体" w:cs="方正小标宋简体"/>
          <w:b w:val="0"/>
          <w:bCs w:val="0"/>
          <w:sz w:val="32"/>
          <w:szCs w:val="32"/>
          <w:lang w:val="en-US" w:eastAsia="zh-CN"/>
        </w:rPr>
      </w:pPr>
      <w:r>
        <w:rPr>
          <w:rFonts w:hint="eastAsia"/>
          <w:sz w:val="28"/>
          <w:szCs w:val="28"/>
          <w:lang w:val="en-US" w:eastAsia="zh-CN"/>
        </w:rPr>
        <w:t xml:space="preserve">        </w:t>
      </w:r>
      <w:r>
        <w:rPr>
          <w:rFonts w:hint="eastAsia"/>
          <w:b/>
          <w:bCs/>
          <w:sz w:val="28"/>
          <w:szCs w:val="28"/>
          <w:lang w:val="en-US" w:eastAsia="zh-CN"/>
        </w:rPr>
        <w:t xml:space="preserve"> </w:t>
      </w:r>
      <w:r>
        <w:rPr>
          <w:rFonts w:hint="eastAsia" w:ascii="方正小标宋简体" w:hAnsi="方正小标宋简体" w:eastAsia="方正小标宋简体" w:cs="方正小标宋简体"/>
          <w:b w:val="0"/>
          <w:bCs w:val="0"/>
          <w:sz w:val="32"/>
          <w:szCs w:val="32"/>
          <w:lang w:val="en-US" w:eastAsia="zh-CN"/>
        </w:rPr>
        <w:t>中信银行佛山分行相关部门联系方式</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318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vAlign w:val="center"/>
          </w:tcPr>
          <w:p>
            <w:pPr>
              <w:spacing w:line="560" w:lineRule="exact"/>
              <w:jc w:val="center"/>
              <w:rPr>
                <w:rFonts w:hint="eastAsia"/>
                <w:b/>
                <w:bCs/>
                <w:sz w:val="28"/>
                <w:szCs w:val="28"/>
                <w:lang w:val="en-US" w:eastAsia="zh-CN"/>
              </w:rPr>
            </w:pPr>
            <w:r>
              <w:rPr>
                <w:rFonts w:hint="eastAsia"/>
                <w:b/>
                <w:bCs/>
                <w:sz w:val="28"/>
                <w:szCs w:val="28"/>
                <w:lang w:val="en-US" w:eastAsia="zh-CN"/>
              </w:rPr>
              <w:t>部门</w:t>
            </w:r>
          </w:p>
        </w:tc>
        <w:tc>
          <w:tcPr>
            <w:tcW w:w="3182" w:type="dxa"/>
            <w:vAlign w:val="center"/>
          </w:tcPr>
          <w:p>
            <w:pPr>
              <w:spacing w:line="560" w:lineRule="exact"/>
              <w:jc w:val="center"/>
              <w:rPr>
                <w:rFonts w:hint="eastAsia"/>
                <w:b/>
                <w:bCs/>
                <w:sz w:val="28"/>
                <w:szCs w:val="28"/>
                <w:lang w:val="en-US" w:eastAsia="zh-CN"/>
              </w:rPr>
            </w:pPr>
            <w:r>
              <w:rPr>
                <w:rFonts w:hint="eastAsia"/>
                <w:b/>
                <w:bCs/>
                <w:sz w:val="28"/>
                <w:szCs w:val="28"/>
                <w:lang w:val="en-US" w:eastAsia="zh-CN"/>
              </w:rPr>
              <w:t>联系人</w:t>
            </w:r>
          </w:p>
        </w:tc>
        <w:tc>
          <w:tcPr>
            <w:tcW w:w="2841" w:type="dxa"/>
            <w:vAlign w:val="center"/>
          </w:tcPr>
          <w:p>
            <w:pPr>
              <w:spacing w:line="560" w:lineRule="exact"/>
              <w:jc w:val="center"/>
              <w:rPr>
                <w:rFonts w:hint="eastAsia"/>
                <w:b/>
                <w:bCs/>
                <w:sz w:val="28"/>
                <w:szCs w:val="28"/>
                <w:lang w:val="en-US" w:eastAsia="zh-CN"/>
              </w:rPr>
            </w:pPr>
            <w:r>
              <w:rPr>
                <w:rFonts w:hint="eastAsia"/>
                <w:b/>
                <w:bCs/>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国际业务部</w:t>
            </w:r>
          </w:p>
        </w:tc>
        <w:tc>
          <w:tcPr>
            <w:tcW w:w="3182"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俞  鸥</w:t>
            </w:r>
          </w:p>
        </w:tc>
        <w:tc>
          <w:tcPr>
            <w:tcW w:w="2841"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13630025850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公司金融部</w:t>
            </w:r>
          </w:p>
        </w:tc>
        <w:tc>
          <w:tcPr>
            <w:tcW w:w="3182"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陶  磊</w:t>
            </w:r>
          </w:p>
        </w:tc>
        <w:tc>
          <w:tcPr>
            <w:tcW w:w="2841"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13929992918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普惠金融部</w:t>
            </w:r>
          </w:p>
        </w:tc>
        <w:tc>
          <w:tcPr>
            <w:tcW w:w="3182"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孔庆烽</w:t>
            </w:r>
          </w:p>
        </w:tc>
        <w:tc>
          <w:tcPr>
            <w:tcW w:w="2841" w:type="dxa"/>
          </w:tcPr>
          <w:p>
            <w:pPr>
              <w:spacing w:line="56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13902424727</w:t>
            </w:r>
          </w:p>
        </w:tc>
      </w:tr>
    </w:tbl>
    <w:p>
      <w:pPr>
        <w:spacing w:line="560" w:lineRule="exact"/>
        <w:ind w:firstLine="562" w:firstLineChars="200"/>
        <w:rPr>
          <w:rFonts w:hint="eastAsia"/>
          <w:b/>
          <w:bCs/>
          <w:sz w:val="28"/>
          <w:szCs w:val="28"/>
          <w:lang w:val="en-US" w:eastAsia="zh-CN"/>
        </w:rPr>
      </w:pPr>
    </w:p>
    <w:p>
      <w:pPr>
        <w:spacing w:line="560" w:lineRule="exact"/>
        <w:ind w:firstLine="560" w:firstLineChars="200"/>
        <w:rPr>
          <w:sz w:val="28"/>
          <w:szCs w:val="28"/>
        </w:rPr>
      </w:pPr>
    </w:p>
    <w:p>
      <w:pPr>
        <w:spacing w:line="560" w:lineRule="exact"/>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E2940"/>
    <w:rsid w:val="5FE71E07"/>
    <w:rsid w:val="758066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p0"/>
    <w:basedOn w:val="1"/>
    <w:uiPriority w:val="0"/>
    <w:pPr>
      <w:widowControl/>
      <w:spacing w:line="560" w:lineRule="atLeast"/>
      <w:ind w:firstLine="420"/>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154</Words>
  <Characters>884</Characters>
  <Lines>7</Lines>
  <Paragraphs>2</Paragraphs>
  <TotalTime>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2020-07-14T08:22:00Z</dcterms:created>
  <dc:creator>俞鸥</dc:creator>
  <cp:lastModifiedBy>田奇</cp:lastModifiedBy>
  <dcterms:modified xsi:type="dcterms:W3CDTF">2020-07-16T06:10:49Z</dcterms:modified>
  <dc:title>          中信银行佛山分行支持“六稳”、“六保”发展方案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