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64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中华财险佛山中心支公司支持重点项目金融保险服务方案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积极响应支持佛山市金融支持“六稳”“六保”工作，支持佛山市重大项目积极稳妥复工开工，中华财险佛山中心支公司（以下称我司）将充分体现国企责任担当与保险保障功能，发挥自身在风险管理、承保能力、产品丰富、专业服务、营业网点齐全等方面的优势，针全市重点项目提供一系列金融保险服务，主要相关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一、支持领域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重点支持全市重点项目、基础设施补短板项目及其他符合市委市政府部署的重大项目，主要包括：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1、积极支持基础设施项目和补短板重大项目建设，如高速公路、铁路、机场、城市轨道交通、市政公用设施等；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2、重点支持制造业实体高质量发展，聚焦新兴制造业及传统产业转型升级，如技术改造、设备更新、搬迁扩产等；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3、城市更新（三旧改造）项目；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4、村级工业园改造项目；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5、工业和新兴产业园区建设项目；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6、新兴制造业及传统产业转型升级项目；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7、教育、医疗、养老等民生领域项目及公共服务领域补短板项目；</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8、其他符合国家产业发展导向和省市政府决策部署的重大项目。</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二、主要服务方案</w:t>
      </w:r>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1.意外健康保险:</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根据企业员工福利保障需求，能正常工作或劳动的在职员工，均可投保，每位员工只需支付一定金额的保险费，就可获得365日的全天候高额保障和优质服务。产品特色如下：</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（1）保障全面：涉及意外身故、残疾、医疗、住院补贴各项保险责任。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（2）组合灵活：可根据企业的实际需求，灵活搭配各项保险责任和保额，提供量身定制的保障方案。</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（3）经济实惠：花小钱也可办大事，全面转移企业所面临的工伤、身故等各项风险，增强企业抗风险能力，激发员工工作激情。</w:t>
      </w:r>
    </w:p>
    <w:p>
      <w:pPr>
        <w:keepNext w:val="0"/>
        <w:keepLines w:val="0"/>
        <w:pageBreakBefore w:val="0"/>
        <w:widowControl/>
        <w:kinsoku/>
        <w:wordWrap/>
        <w:overflowPunct/>
        <w:topLinePunct w:val="0"/>
        <w:bidi w:val="0"/>
        <w:adjustRightInd/>
        <w:snapToGrid/>
        <w:spacing w:line="560" w:lineRule="exact"/>
        <w:ind w:firstLine="610" w:firstLineChars="19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2.企业财产保险：</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企业的生产技术日益精密，生产设备的要求也越来越高。随着企业规模的不断扩大，资本金的投入也随之增加，才能更大的追求资本金的利润。然而资本的增加，风险导致损失的额度也随之增加。因此从风险管理的角度来说，投资人要保证投资资本金的安全性，就必须考虑到损失发生的可能性。</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些无法自己承担的可能造成的损失的风险时，可以将风险转嫁给保险公司，由保险公司来帮您承担财务上的风险，并提供专业的风险管理服务。我们将邀请有关专家定期举办风险管理知识讲座，定期回访，听取企业的意见，进一步做好服务工作。</w:t>
      </w:r>
    </w:p>
    <w:p>
      <w:pPr>
        <w:keepNext w:val="0"/>
        <w:keepLines w:val="0"/>
        <w:pageBreakBefore w:val="0"/>
        <w:widowControl/>
        <w:kinsoku/>
        <w:wordWrap/>
        <w:overflowPunct/>
        <w:topLinePunct w:val="0"/>
        <w:bidi w:val="0"/>
        <w:adjustRightInd/>
        <w:snapToGrid/>
        <w:spacing w:line="560" w:lineRule="exact"/>
        <w:ind w:firstLine="610" w:firstLineChars="19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3.安全生产责任保险：</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安全生产责任保险（简称“安责险” ），是指保险机构对投保的生产经营单位发生的生产安全事故造成的人员伤亡和有关经济等损失予以赔偿，并且为投保的生产经营单位提供事故预防服务的商业保险。</w:t>
      </w:r>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我司作为佛山市安全生产责任保险项目的中标人，将积极履行自己的义务，为企业提供涵盖从业人员保障、第三者责任险、抢救费、事故鉴定费、法律费用等内容的保障，充分发挥事故预防服务、 事故经济损失赔偿两大社会责任，为扩大安责险承保覆盖率贡献力量。</w:t>
      </w:r>
    </w:p>
    <w:p>
      <w:pPr>
        <w:keepNext w:val="0"/>
        <w:keepLines w:val="0"/>
        <w:pageBreakBefore w:val="0"/>
        <w:widowControl/>
        <w:kinsoku/>
        <w:wordWrap/>
        <w:overflowPunct/>
        <w:topLinePunct w:val="0"/>
        <w:bidi w:val="0"/>
        <w:adjustRightInd/>
        <w:snapToGrid/>
        <w:spacing w:line="560" w:lineRule="exact"/>
        <w:ind w:firstLine="44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4.复工复产保险：</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应对“新冠肺炎”疫情期间的复工风险保障，支持企业在做好疫情防控工作的前提下尽快复工复产，我司可为企业提供保障，负责赔偿被保险人营业场所范围内由于发生法定传染病（包括新型冠状病毒肺炎）疫情导致企业应政府要求停工停产，从而造成的财产损失、隔离期间雇员工资支出及隔离费用支出。保险项目包含了在产品（制造和加工型企业）、雇员工资、隔离费用三项。</w:t>
      </w:r>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5.工程类保险：</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333333"/>
          <w:sz w:val="32"/>
          <w:szCs w:val="32"/>
        </w:rPr>
        <w:t>建筑工程保险是财产保险的一种。承保对象为各类工业、民用以及公共事业的土木建筑项目。承保范围包括： (1) 某些自然灾害如洪水、雷电、风暴等引起的损失；(2) 某些人为原因，如盗窃、工人技术人员的过失、恶意行为等引起的损失；(3) 某些不可预料的突然事故等。开办建筑工程保险的目的主要在于保证工程的各相关单位或个人在工程计划实施期间所遭受的经济损失能及时、合理地获得补偿，使工程计划得以持续顺利地进行。</w:t>
      </w:r>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6.首台（套）责任保险：</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技术装备是关系国家安全和国民经济命脉的战略产品，是国家核心竞争力的重要标志。经过多年的努力，我国重大装备已占领国内、国际市场，在市面上树立了良好信誉。为首台（套）重大技术装备创新成果转化引入保险补偿机制，是发挥市场机制决定性作用、加快重大技术装备自主化、服务国家创新驱动发展战略的重要举措，对于促进装备制造业高端转型，打造中国制造升级版具有重要意义。</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首台（套）重大技术装备具有价值量大、创新性强、风险大的特点，往往面临市场初期应用瓶颈，我司作为九家具有首台（套）保险出单资格的保险公司之一，能在发生损失时为企业提供经济补偿，避免企业资金链因为意外情况而出现困难，保障企业健康、长远发展。</w:t>
      </w:r>
    </w:p>
    <w:p>
      <w:pPr>
        <w:keepNext w:val="0"/>
        <w:keepLines w:val="0"/>
        <w:pageBreakBefore w:val="0"/>
        <w:widowControl/>
        <w:tabs>
          <w:tab w:val="left" w:pos="3306"/>
        </w:tabs>
        <w:kinsoku/>
        <w:wordWrap/>
        <w:overflowPunct/>
        <w:topLinePunct w:val="0"/>
        <w:bidi w:val="0"/>
        <w:adjustRightInd/>
        <w:snapToGrid/>
        <w:spacing w:line="560" w:lineRule="exact"/>
        <w:ind w:firstLine="803" w:firstLineChars="25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7.公共责任保险： </w:t>
      </w:r>
      <w:r>
        <w:rPr>
          <w:rFonts w:hint="eastAsia" w:ascii="仿宋_GB2312" w:hAnsi="仿宋_GB2312" w:eastAsia="仿宋_GB2312" w:cs="仿宋_GB2312"/>
          <w:b/>
          <w:sz w:val="32"/>
          <w:szCs w:val="32"/>
        </w:rPr>
        <w:tab/>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color w:val="1A1A1A"/>
          <w:sz w:val="32"/>
          <w:szCs w:val="32"/>
        </w:rPr>
        <w:t>根据《中华人民共和国侵权责任法》和《最高人民法院关于审理人身损害赔偿案件适用法律若干问题的解释》中规定的场所经营者对他人的安全保障义务，从事住宿、餐饮、娱乐等经营活动或者其他社会活动的自然人、法人、其他组织,未尽合理限度范围内的安全保障义务致使他人遭受人身损害,赔偿权利人请求其承担相应赔偿责任的,人民法院应予支持。</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color w:val="1A1A1A"/>
          <w:sz w:val="32"/>
          <w:szCs w:val="32"/>
        </w:rPr>
        <w:t>我司可为企业提供保障，承保经营者在公共场所进行生产、经营或其他活动时，因发生意外事故，对第三种的人身和财产造成损害的赔偿责任。也就是保险标的为被保险人的法律责任。是企业转嫁经营中存在的意外风险的一个保险产品。</w:t>
      </w:r>
    </w:p>
    <w:p>
      <w:pPr>
        <w:keepNext w:val="0"/>
        <w:keepLines w:val="0"/>
        <w:pageBreakBefore w:val="0"/>
        <w:widowControl/>
        <w:kinsoku/>
        <w:wordWrap/>
        <w:overflowPunct/>
        <w:topLinePunct w:val="0"/>
        <w:bidi w:val="0"/>
        <w:adjustRightInd/>
        <w:snapToGrid/>
        <w:spacing w:line="560" w:lineRule="exact"/>
        <w:ind w:firstLine="960" w:firstLineChars="3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三、专属服务支持</w:t>
      </w:r>
    </w:p>
    <w:p>
      <w:pPr>
        <w:keepNext w:val="0"/>
        <w:keepLines w:val="0"/>
        <w:pageBreakBefore w:val="0"/>
        <w:widowControl/>
        <w:kinsoku/>
        <w:wordWrap/>
        <w:overflowPunct/>
        <w:topLinePunct w:val="0"/>
        <w:bidi w:val="0"/>
        <w:adjustRightInd/>
        <w:snapToGrid/>
        <w:spacing w:line="560" w:lineRule="exact"/>
        <w:ind w:firstLine="803"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1.专项保险方案：</w:t>
      </w:r>
      <w:r>
        <w:rPr>
          <w:rFonts w:hint="eastAsia" w:ascii="仿宋_GB2312" w:hAnsi="仿宋_GB2312" w:eastAsia="仿宋_GB2312" w:cs="仿宋_GB2312"/>
          <w:sz w:val="32"/>
          <w:szCs w:val="32"/>
        </w:rPr>
        <w:t>给予全市重点项目专项优质保险服务方案，我司将适度让利，为投保人提供更加优惠、高效的专属保险方案，对于满足条件的项目可享受行业优惠政策和更充足的保额，进一步降低重点项目生产成本。</w:t>
      </w:r>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9"/>
        <w:rPr>
          <w:rFonts w:hint="eastAsia" w:ascii="仿宋_GB2312" w:hAnsi="仿宋_GB2312" w:eastAsia="仿宋_GB2312" w:cs="仿宋_GB2312"/>
          <w:b/>
          <w:color w:val="1A1A1A"/>
          <w:sz w:val="32"/>
          <w:szCs w:val="32"/>
        </w:rPr>
      </w:pPr>
      <w:r>
        <w:rPr>
          <w:rFonts w:hint="eastAsia" w:ascii="仿宋_GB2312" w:hAnsi="仿宋_GB2312" w:eastAsia="仿宋_GB2312" w:cs="仿宋_GB2312"/>
          <w:b/>
          <w:color w:val="1A1A1A"/>
          <w:sz w:val="32"/>
          <w:szCs w:val="32"/>
        </w:rPr>
        <w:t>2.承保、理赔绿色通报审批：</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color w:val="1A1A1A"/>
          <w:sz w:val="32"/>
          <w:szCs w:val="32"/>
        </w:rPr>
        <w:t xml:space="preserve">我司将对重点项目投保人开辟承保VIP通道，专门对承保的要求和注意事项进行针对性讲解和专人跟进服务。 </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color w:val="1A1A1A"/>
          <w:sz w:val="32"/>
          <w:szCs w:val="32"/>
        </w:rPr>
        <w:t>在保险过程中出现的赔案，我司将实行理赔VIP绿色通道服务，从人力、技术支援、资金安排、理赔服务上保证赔案的处理时效性，并指派专人为项目服务专员。</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color w:val="1A1A1A"/>
          <w:sz w:val="32"/>
          <w:szCs w:val="32"/>
        </w:rPr>
        <w:t>（1）快速理赔服务网络。配备24小时专线报案电话，并与多家经国家认可的公估机构签署了正式的合作协议，为客户出险理赔工作提供公证、合理、快捷的服务。</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color w:val="1A1A1A"/>
          <w:sz w:val="32"/>
          <w:szCs w:val="32"/>
        </w:rPr>
        <w:t>（2）简化理赔程序。对于承保的重点项目保险标的过程中出现的赔案，只要责任明确，一旦损失金额确定，我司将做到快速理赔，简化索赔手续，达到通过快速理赔节省双方成本的目标。</w:t>
      </w:r>
    </w:p>
    <w:p>
      <w:pPr>
        <w:keepNext w:val="0"/>
        <w:keepLines w:val="0"/>
        <w:pageBreakBefore w:val="0"/>
        <w:widowControl/>
        <w:kinsoku/>
        <w:wordWrap/>
        <w:overflowPunct/>
        <w:topLinePunct w:val="0"/>
        <w:bidi w:val="0"/>
        <w:adjustRightInd/>
        <w:snapToGrid/>
        <w:spacing w:line="560" w:lineRule="exact"/>
        <w:ind w:firstLine="803"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3.专属服务团队：</w:t>
      </w:r>
      <w:r>
        <w:rPr>
          <w:rFonts w:hint="eastAsia" w:ascii="仿宋_GB2312" w:hAnsi="仿宋_GB2312" w:eastAsia="仿宋_GB2312" w:cs="仿宋_GB2312"/>
          <w:sz w:val="32"/>
          <w:szCs w:val="32"/>
        </w:rPr>
        <w:t>我司将有全国统一客服热线95585和佛山中支专业团队 24 小时贴心服，涵盖各区镇各处的营业网点，100 多人的专业服务团队，24 小时提供贴心贴身服务。</w:t>
      </w:r>
    </w:p>
    <w:p>
      <w:pPr>
        <w:keepNext w:val="0"/>
        <w:keepLines w:val="0"/>
        <w:pageBreakBefore w:val="0"/>
        <w:widowControl/>
        <w:kinsoku/>
        <w:wordWrap/>
        <w:overflowPunct/>
        <w:topLinePunct w:val="0"/>
        <w:bidi w:val="0"/>
        <w:adjustRightInd/>
        <w:snapToGrid/>
        <w:spacing w:line="560" w:lineRule="exact"/>
        <w:ind w:firstLine="803" w:firstLineChars="25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 建立多层次、制度化的沟通机制：</w:t>
      </w:r>
    </w:p>
    <w:p>
      <w:pPr>
        <w:keepNext w:val="0"/>
        <w:keepLines w:val="0"/>
        <w:pageBreakBefore w:val="0"/>
        <w:widowControl/>
        <w:kinsoku/>
        <w:wordWrap/>
        <w:overflowPunct/>
        <w:topLinePunct w:val="0"/>
        <w:bidi w:val="0"/>
        <w:adjustRightInd/>
        <w:snapToGrid/>
        <w:spacing w:line="56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（1）随时为企业提供包括咨询、承保、理赔、风险管理等多方位的保险服务。</w:t>
      </w:r>
    </w:p>
    <w:p>
      <w:pPr>
        <w:keepNext w:val="0"/>
        <w:keepLines w:val="0"/>
        <w:pageBreakBefore w:val="0"/>
        <w:widowControl/>
        <w:kinsoku/>
        <w:wordWrap/>
        <w:overflowPunct/>
        <w:topLinePunct w:val="0"/>
        <w:bidi w:val="0"/>
        <w:adjustRightInd/>
        <w:snapToGrid/>
        <w:spacing w:line="56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（2）有任何投诉或建议，被保险人可随时致电或联络项目服务小组或各负责对接人，我司将尽快为其解决相关问题。</w:t>
      </w:r>
    </w:p>
    <w:p>
      <w:pPr>
        <w:keepNext w:val="0"/>
        <w:keepLines w:val="0"/>
        <w:pageBreakBefore w:val="0"/>
        <w:widowControl/>
        <w:kinsoku/>
        <w:wordWrap/>
        <w:overflowPunct/>
        <w:topLinePunct w:val="0"/>
        <w:bidi w:val="0"/>
        <w:adjustRightInd/>
        <w:snapToGrid/>
        <w:spacing w:line="56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（3）保险期限内，与该项目保险经办小组领导及有关人员举办座谈会,就可能出现的有关问题展开探讨,促进双方的交流以及该项目保险工作的进一步完善。</w:t>
      </w:r>
    </w:p>
    <w:p>
      <w:pPr>
        <w:keepNext w:val="0"/>
        <w:keepLines w:val="0"/>
        <w:pageBreakBefore w:val="0"/>
        <w:widowControl/>
        <w:kinsoku/>
        <w:wordWrap/>
        <w:overflowPunct/>
        <w:topLinePunct w:val="0"/>
        <w:bidi w:val="0"/>
        <w:adjustRightInd/>
        <w:snapToGrid/>
        <w:spacing w:line="560" w:lineRule="exact"/>
        <w:ind w:firstLine="803"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5.综合配套增值服务：</w:t>
      </w:r>
      <w:r>
        <w:rPr>
          <w:rFonts w:hint="eastAsia" w:ascii="仿宋_GB2312" w:hAnsi="仿宋_GB2312" w:eastAsia="仿宋_GB2312" w:cs="仿宋_GB2312"/>
          <w:sz w:val="32"/>
          <w:szCs w:val="32"/>
        </w:rPr>
        <w:t>我司将为投保的重点项目企业免费提供保险咨询、安全生产知识培训、企业防灾防损，法律咨询，投保车辆代驾服务、非事故道理救援、并提供业务上门服务，全力贴身贴心满足重点项目客户的金融保险服务需求。</w:t>
      </w:r>
    </w:p>
    <w:p>
      <w:pPr>
        <w:keepNext w:val="0"/>
        <w:keepLines w:val="0"/>
        <w:pageBreakBefore w:val="0"/>
        <w:widowControl/>
        <w:kinsoku/>
        <w:wordWrap/>
        <w:overflowPunct/>
        <w:topLinePunct w:val="0"/>
        <w:bidi w:val="0"/>
        <w:adjustRightInd/>
        <w:snapToGrid/>
        <w:spacing w:line="560" w:lineRule="exact"/>
        <w:ind w:firstLine="550" w:firstLineChars="250"/>
        <w:textAlignment w:val="auto"/>
        <w:outlineLvl w:val="9"/>
      </w:pPr>
    </w:p>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rPr>
          <w:b/>
          <w:sz w:val="28"/>
          <w:szCs w:val="28"/>
        </w:rPr>
      </w:pPr>
      <w:r>
        <w:rPr>
          <w:rFonts w:hint="eastAsia"/>
          <w:b/>
          <w:sz w:val="28"/>
          <w:szCs w:val="28"/>
        </w:rPr>
        <w:t>附件</w:t>
      </w:r>
      <w:bookmarkStart w:id="0" w:name="_GoBack"/>
      <w:bookmarkEnd w:id="0"/>
    </w:p>
    <w:p>
      <w:pPr>
        <w:rPr>
          <w:b/>
          <w:sz w:val="28"/>
          <w:szCs w:val="28"/>
        </w:rPr>
      </w:pPr>
    </w:p>
    <w:p>
      <w:pPr>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中华财险佛山中心支公司主要对接人名单</w:t>
      </w:r>
    </w:p>
    <w:tbl>
      <w:tblPr>
        <w:tblStyle w:val="5"/>
        <w:tblW w:w="8278" w:type="dxa"/>
        <w:jc w:val="center"/>
        <w:tblInd w:w="95" w:type="dxa"/>
        <w:tblLayout w:type="fixed"/>
        <w:tblCellMar>
          <w:top w:w="0" w:type="dxa"/>
          <w:left w:w="108" w:type="dxa"/>
          <w:bottom w:w="0" w:type="dxa"/>
          <w:right w:w="108" w:type="dxa"/>
        </w:tblCellMar>
      </w:tblPr>
      <w:tblGrid>
        <w:gridCol w:w="1548"/>
        <w:gridCol w:w="2300"/>
        <w:gridCol w:w="1993"/>
        <w:gridCol w:w="2437"/>
      </w:tblGrid>
      <w:tr>
        <w:tblPrEx>
          <w:tblLayout w:type="fixed"/>
          <w:tblCellMar>
            <w:top w:w="0" w:type="dxa"/>
            <w:left w:w="108" w:type="dxa"/>
            <w:bottom w:w="0" w:type="dxa"/>
            <w:right w:w="108" w:type="dxa"/>
          </w:tblCellMar>
        </w:tblPrEx>
        <w:trPr>
          <w:trHeight w:val="449" w:hRule="atLeast"/>
          <w:jc w:val="center"/>
        </w:trPr>
        <w:tc>
          <w:tcPr>
            <w:tcW w:w="154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2300"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机构/部门</w:t>
            </w:r>
          </w:p>
        </w:tc>
        <w:tc>
          <w:tcPr>
            <w:tcW w:w="199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负责对接人</w:t>
            </w:r>
          </w:p>
        </w:tc>
        <w:tc>
          <w:tcPr>
            <w:tcW w:w="243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联系方式</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总经理室</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冯羊平</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13005822695</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业务承保部</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张琪惠　</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13690728000</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销售管理部</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彭春兰　</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13928660988</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4</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理赔客服部</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卢嘉乐　</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18927705152</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5</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重要客户部</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向倬辉</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13318363232</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6</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禅城支公司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黄志强</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13006756866</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7</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南海支公司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刘文钢</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18802626268</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8</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大沥支公司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伍汝新</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13318331295</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9</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西樵支公司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黄荣峰</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13790020899</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10</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狮山支公司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孙金波</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13058305870</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11</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三水支公司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王济仁</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18127958511</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12</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高明支公司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李淑英</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13542595956</w:t>
            </w:r>
          </w:p>
        </w:tc>
      </w:tr>
      <w:tr>
        <w:tblPrEx>
          <w:tblLayout w:type="fixed"/>
          <w:tblCellMar>
            <w:top w:w="0" w:type="dxa"/>
            <w:left w:w="108" w:type="dxa"/>
            <w:bottom w:w="0" w:type="dxa"/>
            <w:right w:w="108" w:type="dxa"/>
          </w:tblCellMar>
        </w:tblPrEx>
        <w:trPr>
          <w:trHeight w:val="472" w:hRule="atLeast"/>
          <w:jc w:val="center"/>
        </w:trPr>
        <w:tc>
          <w:tcPr>
            <w:tcW w:w="154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13</w:t>
            </w:r>
          </w:p>
        </w:tc>
        <w:tc>
          <w:tcPr>
            <w:tcW w:w="230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顺德支公司</w:t>
            </w:r>
          </w:p>
        </w:tc>
        <w:tc>
          <w:tcPr>
            <w:tcW w:w="1993"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柯善虎</w:t>
            </w:r>
          </w:p>
        </w:tc>
        <w:tc>
          <w:tcPr>
            <w:tcW w:w="2437"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宋体" w:cs="宋体"/>
                <w:b w:val="0"/>
                <w:bCs w:val="0"/>
                <w:color w:val="000000"/>
                <w:sz w:val="24"/>
                <w:szCs w:val="24"/>
              </w:rPr>
            </w:pPr>
            <w:r>
              <w:rPr>
                <w:rFonts w:ascii="Calibri" w:hAnsi="Calibri" w:eastAsia="宋体" w:cs="宋体"/>
                <w:b w:val="0"/>
                <w:bCs w:val="0"/>
                <w:color w:val="000000"/>
                <w:sz w:val="24"/>
                <w:szCs w:val="24"/>
              </w:rPr>
              <w:t>13450568189</w:t>
            </w:r>
          </w:p>
        </w:tc>
      </w:tr>
    </w:tbl>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ind w:firstLine="550" w:firstLineChars="250"/>
      </w:pPr>
    </w:p>
    <w:p>
      <w:pPr>
        <w:pStyle w:val="6"/>
        <w:ind w:left="360" w:firstLine="0" w:firstLineChars="0"/>
      </w:pPr>
    </w:p>
    <w:p>
      <w:pPr>
        <w:pStyle w:val="6"/>
        <w:ind w:left="720" w:firstLine="0" w:firstLineChars="0"/>
      </w:pPr>
    </w:p>
    <w:sectPr>
      <w:pgSz w:w="11906" w:h="16838"/>
      <w:pgMar w:top="2098" w:right="1474" w:bottom="1984"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0E5F"/>
    <w:rsid w:val="00025926"/>
    <w:rsid w:val="0005548E"/>
    <w:rsid w:val="000629F9"/>
    <w:rsid w:val="0009763E"/>
    <w:rsid w:val="000D3D82"/>
    <w:rsid w:val="000F2ABD"/>
    <w:rsid w:val="000F59D0"/>
    <w:rsid w:val="00107185"/>
    <w:rsid w:val="001314BC"/>
    <w:rsid w:val="0014198E"/>
    <w:rsid w:val="00150B05"/>
    <w:rsid w:val="001568D6"/>
    <w:rsid w:val="00160308"/>
    <w:rsid w:val="00164334"/>
    <w:rsid w:val="00164CFC"/>
    <w:rsid w:val="00176E5A"/>
    <w:rsid w:val="00201DED"/>
    <w:rsid w:val="00225760"/>
    <w:rsid w:val="002301BE"/>
    <w:rsid w:val="00236F06"/>
    <w:rsid w:val="0026271E"/>
    <w:rsid w:val="00270674"/>
    <w:rsid w:val="002C077C"/>
    <w:rsid w:val="002D2F4D"/>
    <w:rsid w:val="00323B43"/>
    <w:rsid w:val="00330FE4"/>
    <w:rsid w:val="00345096"/>
    <w:rsid w:val="00345CCB"/>
    <w:rsid w:val="00393D61"/>
    <w:rsid w:val="003B544C"/>
    <w:rsid w:val="003D37D8"/>
    <w:rsid w:val="003E5DC5"/>
    <w:rsid w:val="003F2A74"/>
    <w:rsid w:val="0042160C"/>
    <w:rsid w:val="00426133"/>
    <w:rsid w:val="004358AB"/>
    <w:rsid w:val="00474ED6"/>
    <w:rsid w:val="004919F0"/>
    <w:rsid w:val="0049284F"/>
    <w:rsid w:val="004B2CD7"/>
    <w:rsid w:val="004D5ADC"/>
    <w:rsid w:val="004E0C86"/>
    <w:rsid w:val="0052325D"/>
    <w:rsid w:val="0054647A"/>
    <w:rsid w:val="00582E7E"/>
    <w:rsid w:val="005865F2"/>
    <w:rsid w:val="0059360B"/>
    <w:rsid w:val="00595789"/>
    <w:rsid w:val="005A17C3"/>
    <w:rsid w:val="005D3556"/>
    <w:rsid w:val="005D631D"/>
    <w:rsid w:val="00605426"/>
    <w:rsid w:val="006478E5"/>
    <w:rsid w:val="006A2ACA"/>
    <w:rsid w:val="006B5DE0"/>
    <w:rsid w:val="006C1CF9"/>
    <w:rsid w:val="006E5CFE"/>
    <w:rsid w:val="00705E27"/>
    <w:rsid w:val="0072239C"/>
    <w:rsid w:val="00725671"/>
    <w:rsid w:val="00731D6A"/>
    <w:rsid w:val="0076179A"/>
    <w:rsid w:val="0077532E"/>
    <w:rsid w:val="00790417"/>
    <w:rsid w:val="00790533"/>
    <w:rsid w:val="00813391"/>
    <w:rsid w:val="00815652"/>
    <w:rsid w:val="00832169"/>
    <w:rsid w:val="00832B13"/>
    <w:rsid w:val="00862345"/>
    <w:rsid w:val="00890719"/>
    <w:rsid w:val="008A6AD7"/>
    <w:rsid w:val="008B7726"/>
    <w:rsid w:val="00923D39"/>
    <w:rsid w:val="00974445"/>
    <w:rsid w:val="009A640C"/>
    <w:rsid w:val="00A44838"/>
    <w:rsid w:val="00A52FD7"/>
    <w:rsid w:val="00AA7901"/>
    <w:rsid w:val="00AC121B"/>
    <w:rsid w:val="00AD4A91"/>
    <w:rsid w:val="00AF0BCC"/>
    <w:rsid w:val="00AF0ECB"/>
    <w:rsid w:val="00AF5AFA"/>
    <w:rsid w:val="00B3602F"/>
    <w:rsid w:val="00B65032"/>
    <w:rsid w:val="00C13F11"/>
    <w:rsid w:val="00C42834"/>
    <w:rsid w:val="00C47E40"/>
    <w:rsid w:val="00C77575"/>
    <w:rsid w:val="00C92708"/>
    <w:rsid w:val="00C937CF"/>
    <w:rsid w:val="00D0561E"/>
    <w:rsid w:val="00D12204"/>
    <w:rsid w:val="00D14348"/>
    <w:rsid w:val="00D167AF"/>
    <w:rsid w:val="00D17BFB"/>
    <w:rsid w:val="00D256CC"/>
    <w:rsid w:val="00D31D50"/>
    <w:rsid w:val="00D43123"/>
    <w:rsid w:val="00D54597"/>
    <w:rsid w:val="00D60FB7"/>
    <w:rsid w:val="00D67BDC"/>
    <w:rsid w:val="00D91BCC"/>
    <w:rsid w:val="00D959E3"/>
    <w:rsid w:val="00DC18D3"/>
    <w:rsid w:val="00DE053E"/>
    <w:rsid w:val="00DF5A13"/>
    <w:rsid w:val="00E01FEE"/>
    <w:rsid w:val="00E34A7A"/>
    <w:rsid w:val="00E6671E"/>
    <w:rsid w:val="00EB5BDA"/>
    <w:rsid w:val="00EB5DB0"/>
    <w:rsid w:val="00EC3575"/>
    <w:rsid w:val="00EF59F6"/>
    <w:rsid w:val="00F01E7E"/>
    <w:rsid w:val="00F0266B"/>
    <w:rsid w:val="00F02B68"/>
    <w:rsid w:val="00F301E2"/>
    <w:rsid w:val="00F34951"/>
    <w:rsid w:val="00F526E3"/>
    <w:rsid w:val="00F856CC"/>
    <w:rsid w:val="00FB5257"/>
    <w:rsid w:val="00FF25F5"/>
    <w:rsid w:val="00FF4093"/>
    <w:rsid w:val="00FF4DEF"/>
    <w:rsid w:val="00FF779F"/>
    <w:rsid w:val="0C974B9E"/>
    <w:rsid w:val="22FD35C9"/>
    <w:rsid w:val="6F523F05"/>
    <w:rsid w:val="7584182C"/>
    <w:rsid w:val="77B70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20" w:lineRule="atLeast"/>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qFormat/>
    <w:uiPriority w:val="99"/>
    <w:rPr>
      <w:rFonts w:ascii="Tahoma" w:hAnsi="Tahoma"/>
      <w:sz w:val="18"/>
      <w:szCs w:val="18"/>
    </w:rPr>
  </w:style>
  <w:style w:type="character" w:customStyle="1" w:styleId="8">
    <w:name w:val="页脚 Char"/>
    <w:basedOn w:val="4"/>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494</Words>
  <Characters>2821</Characters>
  <Lines>23</Lines>
  <Paragraphs>6</Paragraphs>
  <TotalTime>269</TotalTime>
  <ScaleCrop>false</ScaleCrop>
  <LinksUpToDate>false</LinksUpToDate>
  <CharactersWithSpaces>3309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RH</dc:creator>
  <cp:lastModifiedBy>田奇</cp:lastModifiedBy>
  <dcterms:modified xsi:type="dcterms:W3CDTF">2020-07-02T06:37:30Z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