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中国人寿佛山分公司支持“六稳”“六保”</w:t>
      </w:r>
      <w:bookmarkStart w:id="0" w:name="_Hlk44938716"/>
      <w:r>
        <w:rPr>
          <w:rFonts w:hint="eastAsia" w:ascii="方正小标宋简体" w:hAnsi="方正小标宋简体" w:eastAsia="方正小标宋简体" w:cs="方正小标宋简体"/>
          <w:sz w:val="44"/>
          <w:szCs w:val="44"/>
        </w:rPr>
        <w:t>服务</w:t>
      </w:r>
      <w:bookmarkEnd w:id="0"/>
      <w:r>
        <w:rPr>
          <w:rFonts w:hint="eastAsia" w:ascii="方正小标宋简体" w:hAnsi="方正小标宋简体" w:eastAsia="方正小标宋简体" w:cs="方正小标宋简体"/>
          <w:sz w:val="44"/>
          <w:szCs w:val="44"/>
        </w:rPr>
        <w:t>文广旅体和餐饮企业综合方案</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ascii="方正粗雅宋长_GBK" w:eastAsia="方正粗雅宋长_GBK"/>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中国人寿佛山分公司作为国有金融保险集团的地方机构，始终坚持金融服务实体经济，贯彻落实党中央“六稳”“六保”工作要求， 立足国有保险企业职责，根据集团稳中求进、前瞻谋划、综合施策的原则，扎实做好“六稳”工作、全面落实“六保”任务，充分发挥综合金融优势以及服务优势，制定服务文广旅体和餐饮企业综合方案，维护经济发展和社会稳定大局，助力决战决胜脱贫攻坚、全面建成小康社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一、创新个人保障产品保障民生</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（一）全面保障型产品完善社会保险体系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寿聚焦助推脱贫攻坚，补充完善社会保障体系，推出种类齐全的保障型产品，其中康悦C百万医疗产品致力于解决老百姓在社保、大病保险、新农合等保障以外，看病治病自费范围费用，报销额度高（最高保额605万），报销涵盖范围广，包括普通医疗费用（诊疗费、手术费、检查费、治疗费、院前住院门急诊费等）和社保外范围（进口药、自费药等）。中国人寿佛山分公司在本地推出康悦C百万医疗产品专销，仅二季度就售出2万件，受到佛山市民的高度肯定。35岁的男性每天不超2元钱，可以获得全年最高605万的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康宁保C、国寿福等保障型产品旨在为重疾病患补偿罹患重大疾病后的收入损失、后期长期的康复费用、住院医疗不能报销的各类花费，尽可能让病人家庭的生活不被疾病所改变。康宁保C产品还具有满期返还全部保费的特性，兼顾重疾保障和养老需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以上产品组合的推出，旨在解决老百姓看病难、因病返贫、因病致贫的问题，为保基本民生和助力扶贫做出更大贡献。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（二）创新个人专属产品护持平安佛山</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寿佛山分公司根据佛山客户的投保需求和意向，设计并推出了佛山地区专属的个人意外保障产品组合“护身福”，以高额意外保障（水陆空全面保障）搭配特定癌症保障，为佛山客户提供更全面的出行保险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（三）创新团体保险产品服务佛山企业</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1.出租屋保险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中国人寿进一步促进重点群体</w:t>
      </w:r>
      <w:bookmarkStart w:id="1" w:name="baidusnap0"/>
      <w:bookmarkEnd w:id="1"/>
      <w:r>
        <w:rPr>
          <w:rFonts w:hint="eastAsia" w:ascii="仿宋_GB2312" w:hAnsi="仿宋_GB2312" w:eastAsia="仿宋_GB2312" w:cs="仿宋_GB2312"/>
          <w:sz w:val="32"/>
          <w:szCs w:val="32"/>
        </w:rPr>
        <w:t>稳定就业，助力“六保”“六稳”工作任务落实，通过创新保险产品，针对佛山流动人口、外来务工人员专属打造出租屋综合保险组合计划，为佛山租住出租屋人员提供意外保障和财产保障，分担劳动关系风险，为企业解决后顾之忧，以保险机制增强就业信心，</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2.抗疫组合产品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中国人寿推出“防疫情，保民生”系列产品，发挥保险优势支持小微企业共克时艰， “关爱保”、 “守护神”抗疫保障方案，以最低5元每人的优惠价格，为企业员工提供确诊新型冠状病毒肺炎导致身故/伤残保障。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以上产品组合的推出，旨在全面支持企业抗疫和复工复产，为佛山地区“稳就业”提供更多保障。 </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3.企业年金留才计划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针对教育机构优化人才管理和丰富教育工作者养老福利，推出国寿养老受托企业年金留才计划，更好地保障职工退休后的生活。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（1）计划简介</w:t>
      </w:r>
    </w:p>
    <w:tbl>
      <w:tblPr>
        <w:tblStyle w:val="5"/>
        <w:tblW w:w="8576" w:type="dxa"/>
        <w:tblInd w:w="0" w:type="dxa"/>
        <w:tblLayout w:type="fixed"/>
        <w:tblCellMar>
          <w:top w:w="0" w:type="dxa"/>
          <w:left w:w="108" w:type="dxa"/>
          <w:bottom w:w="0" w:type="dxa"/>
          <w:right w:w="108" w:type="dxa"/>
        </w:tblCellMar>
      </w:tblPr>
      <w:tblGrid>
        <w:gridCol w:w="1094"/>
        <w:gridCol w:w="1736"/>
        <w:gridCol w:w="1308"/>
        <w:gridCol w:w="1092"/>
        <w:gridCol w:w="1092"/>
        <w:gridCol w:w="1092"/>
        <w:gridCol w:w="1162"/>
      </w:tblGrid>
      <w:tr>
        <w:tblPrEx>
          <w:tblLayout w:type="fixed"/>
          <w:tblCellMar>
            <w:top w:w="0" w:type="dxa"/>
            <w:left w:w="108" w:type="dxa"/>
            <w:bottom w:w="0" w:type="dxa"/>
            <w:right w:w="108" w:type="dxa"/>
          </w:tblCellMar>
        </w:tblPrEx>
        <w:trPr>
          <w:trHeight w:val="546" w:hRule="atLeast"/>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计划名称</w:t>
            </w:r>
          </w:p>
        </w:tc>
        <w:tc>
          <w:tcPr>
            <w:tcW w:w="17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计划登记号</w:t>
            </w:r>
          </w:p>
        </w:tc>
        <w:tc>
          <w:tcPr>
            <w:tcW w:w="1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受托机构</w:t>
            </w:r>
          </w:p>
        </w:tc>
        <w:tc>
          <w:tcPr>
            <w:tcW w:w="10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账管机构</w:t>
            </w:r>
          </w:p>
        </w:tc>
        <w:tc>
          <w:tcPr>
            <w:tcW w:w="10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托管机构</w:t>
            </w:r>
          </w:p>
        </w:tc>
        <w:tc>
          <w:tcPr>
            <w:tcW w:w="10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投管机构</w:t>
            </w:r>
          </w:p>
        </w:tc>
        <w:tc>
          <w:tcPr>
            <w:tcW w:w="11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2019年综合收益率</w:t>
            </w:r>
          </w:p>
        </w:tc>
      </w:tr>
      <w:tr>
        <w:tblPrEx>
          <w:tblLayout w:type="fixed"/>
          <w:tblCellMar>
            <w:top w:w="0" w:type="dxa"/>
            <w:left w:w="108" w:type="dxa"/>
            <w:bottom w:w="0" w:type="dxa"/>
            <w:right w:w="108" w:type="dxa"/>
          </w:tblCellMar>
        </w:tblPrEx>
        <w:trPr>
          <w:trHeight w:val="1137" w:hRule="atLeast"/>
        </w:trPr>
        <w:tc>
          <w:tcPr>
            <w:tcW w:w="10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国寿永丰企业年金集合计划</w:t>
            </w:r>
          </w:p>
        </w:tc>
        <w:tc>
          <w:tcPr>
            <w:tcW w:w="17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99JH20110028</w:t>
            </w:r>
          </w:p>
        </w:tc>
        <w:tc>
          <w:tcPr>
            <w:tcW w:w="13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中国人寿养老保险股份有限公司</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中国人寿养老保险股份有限公司</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中国农业银行股份有限公司</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中国人寿养老保险股份有限公司</w:t>
            </w:r>
          </w:p>
        </w:tc>
        <w:tc>
          <w:tcPr>
            <w:tcW w:w="11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7.25%</w:t>
            </w:r>
          </w:p>
        </w:tc>
      </w:tr>
    </w:tbl>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（2）计划管理费</w:t>
      </w:r>
    </w:p>
    <w:tbl>
      <w:tblPr>
        <w:tblStyle w:val="5"/>
        <w:tblW w:w="8608" w:type="dxa"/>
        <w:tblInd w:w="0" w:type="dxa"/>
        <w:tblLayout w:type="fixed"/>
        <w:tblCellMar>
          <w:top w:w="0" w:type="dxa"/>
          <w:left w:w="108" w:type="dxa"/>
          <w:bottom w:w="0" w:type="dxa"/>
          <w:right w:w="108" w:type="dxa"/>
        </w:tblCellMar>
      </w:tblPr>
      <w:tblGrid>
        <w:gridCol w:w="1776"/>
        <w:gridCol w:w="1776"/>
        <w:gridCol w:w="5056"/>
      </w:tblGrid>
      <w:tr>
        <w:tblPrEx>
          <w:tblLayout w:type="fixed"/>
          <w:tblCellMar>
            <w:top w:w="0" w:type="dxa"/>
            <w:left w:w="108" w:type="dxa"/>
            <w:bottom w:w="0" w:type="dxa"/>
            <w:right w:w="108" w:type="dxa"/>
          </w:tblCellMar>
        </w:tblPrEx>
        <w:trPr>
          <w:trHeight w:val="576" w:hRule="atLeast"/>
        </w:trPr>
        <w:tc>
          <w:tcPr>
            <w:tcW w:w="1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类型</w:t>
            </w:r>
          </w:p>
        </w:tc>
        <w:tc>
          <w:tcPr>
            <w:tcW w:w="17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细项</w:t>
            </w:r>
          </w:p>
        </w:tc>
        <w:tc>
          <w:tcPr>
            <w:tcW w:w="50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管理费</w:t>
            </w:r>
          </w:p>
        </w:tc>
      </w:tr>
      <w:tr>
        <w:tblPrEx>
          <w:tblLayout w:type="fixed"/>
          <w:tblCellMar>
            <w:top w:w="0" w:type="dxa"/>
            <w:left w:w="108" w:type="dxa"/>
            <w:bottom w:w="0" w:type="dxa"/>
            <w:right w:w="108" w:type="dxa"/>
          </w:tblCellMar>
        </w:tblPrEx>
        <w:trPr>
          <w:trHeight w:val="468" w:hRule="atLeast"/>
        </w:trPr>
        <w:tc>
          <w:tcPr>
            <w:tcW w:w="17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受托费</w:t>
            </w:r>
          </w:p>
        </w:tc>
        <w:tc>
          <w:tcPr>
            <w:tcW w:w="17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w:t>
            </w:r>
          </w:p>
        </w:tc>
        <w:tc>
          <w:tcPr>
            <w:tcW w:w="5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按财产净值的0.12%/年</w:t>
            </w:r>
          </w:p>
        </w:tc>
      </w:tr>
      <w:tr>
        <w:tblPrEx>
          <w:tblLayout w:type="fixed"/>
          <w:tblCellMar>
            <w:top w:w="0" w:type="dxa"/>
            <w:left w:w="108" w:type="dxa"/>
            <w:bottom w:w="0" w:type="dxa"/>
            <w:right w:w="108" w:type="dxa"/>
          </w:tblCellMar>
        </w:tblPrEx>
        <w:trPr>
          <w:trHeight w:val="288" w:hRule="atLeast"/>
        </w:trPr>
        <w:tc>
          <w:tcPr>
            <w:tcW w:w="17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账管费</w:t>
            </w:r>
          </w:p>
        </w:tc>
        <w:tc>
          <w:tcPr>
            <w:tcW w:w="17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w:t>
            </w:r>
          </w:p>
        </w:tc>
        <w:tc>
          <w:tcPr>
            <w:tcW w:w="5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1元/户/月</w:t>
            </w:r>
          </w:p>
        </w:tc>
      </w:tr>
      <w:tr>
        <w:tblPrEx>
          <w:tblLayout w:type="fixed"/>
          <w:tblCellMar>
            <w:top w:w="0" w:type="dxa"/>
            <w:left w:w="108" w:type="dxa"/>
            <w:bottom w:w="0" w:type="dxa"/>
            <w:right w:w="108" w:type="dxa"/>
          </w:tblCellMar>
        </w:tblPrEx>
        <w:trPr>
          <w:trHeight w:val="288" w:hRule="atLeast"/>
        </w:trPr>
        <w:tc>
          <w:tcPr>
            <w:tcW w:w="17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托管费</w:t>
            </w:r>
          </w:p>
        </w:tc>
        <w:tc>
          <w:tcPr>
            <w:tcW w:w="17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w:t>
            </w:r>
          </w:p>
        </w:tc>
        <w:tc>
          <w:tcPr>
            <w:tcW w:w="5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按财产净值的0.13%/年</w:t>
            </w:r>
          </w:p>
        </w:tc>
      </w:tr>
      <w:tr>
        <w:tblPrEx>
          <w:tblLayout w:type="fixed"/>
          <w:tblCellMar>
            <w:top w:w="0" w:type="dxa"/>
            <w:left w:w="108" w:type="dxa"/>
            <w:bottom w:w="0" w:type="dxa"/>
            <w:right w:w="108" w:type="dxa"/>
          </w:tblCellMar>
        </w:tblPrEx>
        <w:trPr>
          <w:trHeight w:val="288" w:hRule="atLeast"/>
        </w:trPr>
        <w:tc>
          <w:tcPr>
            <w:tcW w:w="17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投管费</w:t>
            </w:r>
          </w:p>
        </w:tc>
        <w:tc>
          <w:tcPr>
            <w:tcW w:w="17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成长</w:t>
            </w:r>
          </w:p>
        </w:tc>
        <w:tc>
          <w:tcPr>
            <w:tcW w:w="5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按财产净值的0.9%/年</w:t>
            </w:r>
          </w:p>
        </w:tc>
      </w:tr>
      <w:tr>
        <w:tblPrEx>
          <w:tblLayout w:type="fixed"/>
          <w:tblCellMar>
            <w:top w:w="0" w:type="dxa"/>
            <w:left w:w="108" w:type="dxa"/>
            <w:bottom w:w="0" w:type="dxa"/>
            <w:right w:w="108" w:type="dxa"/>
          </w:tblCellMar>
        </w:tblPrEx>
        <w:trPr>
          <w:trHeight w:val="288" w:hRule="atLeast"/>
        </w:trPr>
        <w:tc>
          <w:tcPr>
            <w:tcW w:w="17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 w:val="24"/>
                <w:szCs w:val="24"/>
              </w:rPr>
            </w:pPr>
          </w:p>
        </w:tc>
        <w:tc>
          <w:tcPr>
            <w:tcW w:w="17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稳健</w:t>
            </w:r>
          </w:p>
        </w:tc>
        <w:tc>
          <w:tcPr>
            <w:tcW w:w="5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按财产净值的0.8%/年</w:t>
            </w:r>
          </w:p>
        </w:tc>
      </w:tr>
      <w:tr>
        <w:tblPrEx>
          <w:tblLayout w:type="fixed"/>
          <w:tblCellMar>
            <w:top w:w="0" w:type="dxa"/>
            <w:left w:w="108" w:type="dxa"/>
            <w:bottom w:w="0" w:type="dxa"/>
            <w:right w:w="108" w:type="dxa"/>
          </w:tblCellMar>
        </w:tblPrEx>
        <w:trPr>
          <w:trHeight w:val="288" w:hRule="atLeast"/>
        </w:trPr>
        <w:tc>
          <w:tcPr>
            <w:tcW w:w="17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 w:val="24"/>
                <w:szCs w:val="24"/>
              </w:rPr>
            </w:pPr>
          </w:p>
        </w:tc>
        <w:tc>
          <w:tcPr>
            <w:tcW w:w="17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避险</w:t>
            </w:r>
          </w:p>
        </w:tc>
        <w:tc>
          <w:tcPr>
            <w:tcW w:w="5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按财产净值的0.5%/年</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（四）专属贷款产品提供信贷支持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寿联合广发银行定制打造国寿客户专属贷款产品，包括保单信用贷产品鑫享贷、房产担保产品鑫抵贷，专享低利率和高贷款额度，提升国寿客户申请的审批通过率和审批效率，为国寿客户，尤其是企业客户解决短期资金困难提供有力的金融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发挥科技</w:t>
      </w:r>
      <w:r>
        <w:rPr>
          <w:rFonts w:hint="eastAsia" w:ascii="黑体" w:hAnsi="黑体" w:eastAsia="黑体"/>
          <w:sz w:val="32"/>
          <w:szCs w:val="32"/>
        </w:rPr>
        <w:t>支撑</w:t>
      </w:r>
      <w:r>
        <w:rPr>
          <w:rFonts w:ascii="黑体" w:hAnsi="黑体" w:eastAsia="黑体"/>
          <w:sz w:val="32"/>
          <w:szCs w:val="32"/>
        </w:rPr>
        <w:t>作用</w:t>
      </w:r>
      <w:r>
        <w:rPr>
          <w:rFonts w:hint="eastAsia" w:ascii="黑体" w:hAnsi="黑体" w:eastAsia="黑体"/>
          <w:sz w:val="32"/>
          <w:szCs w:val="32"/>
        </w:rPr>
        <w:t>，守护人民美好生活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寿把金融科技作为驱动转型发展的关键要素，借力移动互联发挥科技优势，不断进行服务手段创新，努力打造以客户为中心，以互联网为特征，以敏捷响应、安全可靠、行业领先为目标的综合业务处理系统和客户服务生态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（一）理赔直付缓解理赔难问题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解决群众“理赔难”问题，中国人寿在一些城市，已率先开设医院驻点服务的“直报”窗口，推进“基本医保+商业保险”直赔模式，实现医保、商保一站式便捷服务。目前，中国人寿在佛山本地与个别医院开展了“直赔服务”合作，取得一定效果，群众满意度较高，正在积极推进理赔直赔模式进一步覆盖佛山其他医院，借鉴国寿系统内其他地市先进经验，为佛山市建立数字健康保险交易平台实现理赔直付试点工作做出贡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（二）对接政府应用创新服务模式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数字政府改革建设2020年工作要点》（粤办函〔2020〕20号）将擦亮“粤省事”品牌、优化一体化政务服务平台列入重点项目。中国人寿佛山分公司当前积极与“数字广东公司”洽谈磋商，拟通过科技手段对接“数字广东”，入驻“粤省事”、政务服务一体机，为佛山市民提供在线保险的承保和理赔等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楷体" w:hAnsi="楷体" w:eastAsia="楷体" w:cs="楷体"/>
          <w:sz w:val="32"/>
          <w:szCs w:val="32"/>
        </w:rPr>
      </w:pPr>
      <w:r>
        <w:rPr>
          <w:rFonts w:hint="eastAsia" w:ascii="楷体" w:hAnsi="楷体" w:eastAsia="楷体" w:cs="楷体"/>
          <w:b/>
          <w:bCs/>
          <w:sz w:val="32"/>
          <w:szCs w:val="32"/>
        </w:rPr>
        <w:t>（三）快捷投保服务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个人产品、出租屋保险组合产品均可通过微信端链接自费投保，次日生效。</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left"/>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（四）驻点上门服务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中国人寿配备专业服务团队，提供上门服务，响应各级服务需求。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详情可直接联系中国人寿佛山分公司各片区营业网点（具体详见附表），提出个性化服务需求，佛山国寿团队将7*24小时实时响应，并提供绿色通道应急专属服务。</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ascii="仿宋" w:hAnsi="仿宋" w:eastAsia="仿宋"/>
          <w:sz w:val="32"/>
          <w:szCs w:val="32"/>
        </w:rPr>
      </w:pPr>
    </w:p>
    <w:p>
      <w:pPr>
        <w:spacing w:line="560" w:lineRule="atLeast"/>
        <w:rPr>
          <w:rFonts w:hint="eastAsia" w:ascii="黑体" w:hAnsi="黑体" w:eastAsia="黑体" w:cs="黑体"/>
          <w:b w:val="0"/>
          <w:bCs w:val="0"/>
          <w:sz w:val="32"/>
          <w:szCs w:val="32"/>
        </w:rPr>
      </w:pPr>
      <w:r>
        <w:rPr>
          <w:rFonts w:hint="eastAsia" w:ascii="黑体" w:hAnsi="黑体" w:eastAsia="黑体" w:cs="黑体"/>
          <w:b w:val="0"/>
          <w:bCs w:val="0"/>
          <w:sz w:val="32"/>
          <w:szCs w:val="32"/>
        </w:rPr>
        <w:t>附表：</w:t>
      </w:r>
    </w:p>
    <w:p>
      <w:pPr>
        <w:spacing w:line="560" w:lineRule="atLeas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中国人寿佛山分公司主要对接人名单</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3604"/>
        <w:gridCol w:w="3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b/>
                <w:bCs/>
                <w:kern w:val="0"/>
                <w:sz w:val="32"/>
                <w:szCs w:val="32"/>
              </w:rPr>
            </w:pPr>
            <w:r>
              <w:rPr>
                <w:rFonts w:hint="eastAsia" w:ascii="仿宋_GB2312" w:hAnsi="黑体" w:eastAsia="仿宋_GB2312"/>
                <w:b/>
                <w:bCs/>
                <w:kern w:val="0"/>
                <w:sz w:val="32"/>
                <w:szCs w:val="32"/>
              </w:rPr>
              <w:t>片区</w:t>
            </w:r>
          </w:p>
        </w:tc>
        <w:tc>
          <w:tcPr>
            <w:tcW w:w="3604" w:type="dxa"/>
          </w:tcPr>
          <w:p>
            <w:pPr>
              <w:jc w:val="center"/>
              <w:rPr>
                <w:rFonts w:ascii="仿宋_GB2312" w:hAnsi="黑体" w:eastAsia="仿宋_GB2312"/>
                <w:b/>
                <w:bCs/>
                <w:kern w:val="0"/>
                <w:sz w:val="32"/>
                <w:szCs w:val="32"/>
              </w:rPr>
            </w:pPr>
            <w:r>
              <w:rPr>
                <w:rFonts w:hint="eastAsia" w:ascii="仿宋_GB2312" w:hAnsi="黑体" w:eastAsia="仿宋_GB2312"/>
                <w:b/>
                <w:bCs/>
                <w:kern w:val="0"/>
                <w:sz w:val="32"/>
                <w:szCs w:val="32"/>
              </w:rPr>
              <w:t>个人业务主要对接人</w:t>
            </w:r>
          </w:p>
        </w:tc>
        <w:tc>
          <w:tcPr>
            <w:tcW w:w="3584" w:type="dxa"/>
          </w:tcPr>
          <w:p>
            <w:pPr>
              <w:jc w:val="center"/>
              <w:rPr>
                <w:rFonts w:ascii="仿宋_GB2312" w:hAnsi="黑体" w:eastAsia="仿宋_GB2312"/>
                <w:b/>
                <w:bCs/>
                <w:kern w:val="0"/>
                <w:sz w:val="32"/>
                <w:szCs w:val="32"/>
              </w:rPr>
            </w:pPr>
            <w:r>
              <w:rPr>
                <w:rFonts w:hint="eastAsia" w:ascii="仿宋_GB2312" w:hAnsi="黑体" w:eastAsia="仿宋_GB2312"/>
                <w:b/>
                <w:bCs/>
                <w:kern w:val="0"/>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顺德</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张敏</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18029309800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三水</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卢伟荣</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15920716533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高明</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吴燕龙</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13528975285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大沥</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李炎</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13435409675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南海</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张北平</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15007571430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城区</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陈月献</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18038829288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西樵</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冯知强</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13927265489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狮山</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杨勇涛</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15899838975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b/>
                <w:bCs/>
                <w:kern w:val="0"/>
                <w:sz w:val="32"/>
                <w:szCs w:val="32"/>
              </w:rPr>
            </w:pPr>
            <w:r>
              <w:rPr>
                <w:rFonts w:hint="eastAsia" w:ascii="仿宋_GB2312" w:hAnsi="黑体" w:eastAsia="仿宋_GB2312"/>
                <w:b/>
                <w:bCs/>
                <w:kern w:val="0"/>
                <w:sz w:val="32"/>
                <w:szCs w:val="32"/>
              </w:rPr>
              <w:t>片区</w:t>
            </w:r>
          </w:p>
        </w:tc>
        <w:tc>
          <w:tcPr>
            <w:tcW w:w="3604" w:type="dxa"/>
          </w:tcPr>
          <w:p>
            <w:pPr>
              <w:jc w:val="center"/>
              <w:rPr>
                <w:rFonts w:ascii="仿宋_GB2312" w:hAnsi="黑体" w:eastAsia="仿宋_GB2312"/>
                <w:b/>
                <w:bCs/>
                <w:kern w:val="0"/>
                <w:sz w:val="32"/>
                <w:szCs w:val="32"/>
              </w:rPr>
            </w:pPr>
            <w:r>
              <w:rPr>
                <w:rFonts w:hint="eastAsia" w:ascii="仿宋_GB2312" w:hAnsi="黑体" w:eastAsia="仿宋_GB2312"/>
                <w:b/>
                <w:bCs/>
                <w:kern w:val="0"/>
                <w:sz w:val="32"/>
                <w:szCs w:val="32"/>
              </w:rPr>
              <w:t>团体业务主要对接人</w:t>
            </w:r>
          </w:p>
        </w:tc>
        <w:tc>
          <w:tcPr>
            <w:tcW w:w="3584" w:type="dxa"/>
          </w:tcPr>
          <w:p>
            <w:pPr>
              <w:jc w:val="center"/>
              <w:rPr>
                <w:rFonts w:ascii="仿宋_GB2312" w:hAnsi="黑体" w:eastAsia="仿宋_GB2312"/>
                <w:b/>
                <w:bCs/>
                <w:kern w:val="0"/>
                <w:sz w:val="32"/>
                <w:szCs w:val="32"/>
              </w:rPr>
            </w:pPr>
            <w:r>
              <w:rPr>
                <w:rFonts w:hint="eastAsia" w:ascii="仿宋_GB2312" w:hAnsi="黑体" w:eastAsia="仿宋_GB2312"/>
                <w:b/>
                <w:bCs/>
                <w:kern w:val="0"/>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禅城</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杨威威</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13702924885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南海</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马涛</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13702973659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顺德</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刘程平</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13902899481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三水</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杨展平</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13703069594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高明</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魏波</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13630016520</w:t>
            </w:r>
          </w:p>
        </w:tc>
      </w:tr>
    </w:tbl>
    <w:p>
      <w:pPr>
        <w:jc w:val="center"/>
        <w:rPr>
          <w:rFonts w:ascii="仿宋_GB2312" w:hAnsi="黑体" w:eastAsia="仿宋_GB2312"/>
          <w:sz w:val="32"/>
          <w:szCs w:val="32"/>
        </w:rPr>
      </w:pPr>
    </w:p>
    <w:sectPr>
      <w:footerReference r:id="rId3" w:type="default"/>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粗雅宋长_GBK">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12"/>
    <w:rsid w:val="000864C0"/>
    <w:rsid w:val="000B521D"/>
    <w:rsid w:val="001148EB"/>
    <w:rsid w:val="00127DD7"/>
    <w:rsid w:val="001F7D98"/>
    <w:rsid w:val="00241837"/>
    <w:rsid w:val="002464F0"/>
    <w:rsid w:val="00255FBE"/>
    <w:rsid w:val="002A100E"/>
    <w:rsid w:val="003133F6"/>
    <w:rsid w:val="003973A5"/>
    <w:rsid w:val="003A000C"/>
    <w:rsid w:val="004A3EB5"/>
    <w:rsid w:val="004E6B74"/>
    <w:rsid w:val="004F2700"/>
    <w:rsid w:val="0056744C"/>
    <w:rsid w:val="006E60C9"/>
    <w:rsid w:val="006F12CB"/>
    <w:rsid w:val="00715A4C"/>
    <w:rsid w:val="00723787"/>
    <w:rsid w:val="0076091B"/>
    <w:rsid w:val="00856DE6"/>
    <w:rsid w:val="00882296"/>
    <w:rsid w:val="008A4AA6"/>
    <w:rsid w:val="008B1043"/>
    <w:rsid w:val="008E4DCC"/>
    <w:rsid w:val="009B5685"/>
    <w:rsid w:val="00A832A0"/>
    <w:rsid w:val="00AD361E"/>
    <w:rsid w:val="00B01265"/>
    <w:rsid w:val="00B02293"/>
    <w:rsid w:val="00CA58B0"/>
    <w:rsid w:val="00CB3C4F"/>
    <w:rsid w:val="00CE680B"/>
    <w:rsid w:val="00DA2357"/>
    <w:rsid w:val="00DF72EB"/>
    <w:rsid w:val="00E94451"/>
    <w:rsid w:val="00E94458"/>
    <w:rsid w:val="00EC7A12"/>
    <w:rsid w:val="00FC4120"/>
    <w:rsid w:val="00FE51CD"/>
    <w:rsid w:val="51EB649B"/>
    <w:rsid w:val="59874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4"/>
    <w:link w:val="3"/>
    <w:uiPriority w:val="99"/>
    <w:rPr>
      <w:sz w:val="18"/>
      <w:szCs w:val="18"/>
    </w:rPr>
  </w:style>
  <w:style w:type="character" w:customStyle="1" w:styleId="9">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0B3137-64E3-4606-9DFC-E0D0FB778AB4}">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6</Pages>
  <Words>378</Words>
  <Characters>2156</Characters>
  <Lines>17</Lines>
  <Paragraphs>5</Paragraphs>
  <TotalTime>6</TotalTime>
  <ScaleCrop>false</ScaleCrop>
  <LinksUpToDate>false</LinksUpToDate>
  <CharactersWithSpaces>2529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2020-07-08T02:13:00Z</dcterms:created>
  <dc:creator>dw1029</dc:creator>
  <cp:lastModifiedBy>田奇</cp:lastModifiedBy>
  <cp:lastPrinted>2020-07-04T03:11:00Z</cp:lastPrinted>
  <dcterms:modified xsi:type="dcterms:W3CDTF">2020-07-08T02:50:38Z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