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中国人寿佛山分公司支持“六稳”“六保”</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rPr>
      </w:pPr>
      <w:bookmarkStart w:id="0" w:name="_Hlk44938716"/>
      <w:r>
        <w:rPr>
          <w:rFonts w:hint="eastAsia" w:ascii="方正小标宋简体" w:hAnsi="方正小标宋简体" w:eastAsia="方正小标宋简体" w:cs="方正小标宋简体"/>
          <w:sz w:val="44"/>
          <w:szCs w:val="44"/>
        </w:rPr>
        <w:t>服务</w:t>
      </w:r>
      <w:bookmarkEnd w:id="0"/>
      <w:r>
        <w:rPr>
          <w:rFonts w:hint="eastAsia" w:ascii="方正小标宋简体" w:hAnsi="方正小标宋简体" w:eastAsia="方正小标宋简体" w:cs="方正小标宋简体"/>
          <w:sz w:val="44"/>
          <w:szCs w:val="44"/>
        </w:rPr>
        <w:t>民办教育机构综合方案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中国人寿佛山分公司作为国有金融保险集团的地方机构，始终坚持金融服务实体经济，贯彻落实党中央“六稳”“六保”工作要求，</w:t>
      </w:r>
      <w:bookmarkStart w:id="1" w:name="_GoBack"/>
      <w:bookmarkEnd w:id="1"/>
      <w:r>
        <w:rPr>
          <w:rFonts w:hint="eastAsia" w:ascii="仿宋_GB2312" w:hAnsi="仿宋_GB2312" w:eastAsia="仿宋_GB2312" w:cs="仿宋_GB2312"/>
          <w:sz w:val="32"/>
          <w:szCs w:val="32"/>
        </w:rPr>
        <w:t>立足国有保险企业职责，根据集团稳中求进、前瞻谋划、综合施策的原则，扎实做好“六稳”工作、全面落实“六保”任务，充分发挥综合金融优势以及服务优势，制定服务民办教育机构综合方案，维护经济发展和社会稳定大局，助力决战决胜脱贫攻坚、全面建成小康社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一、创新个人保障产品保障民生</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（一）全面保障型产品完善社会保险体系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聚焦助推脱贫攻坚，补充完善社会保障体系，推出种类齐全的保障型产品，其中康悦C百万医疗产品致力于解决老百姓在社保、大病保险、新农合等保障以外，看病治病自费范围费用，报销额度高（最高保额605万），报销涵盖范围广，包括普通医疗费用（诊疗费、手术费、检查费、治疗费、院前住院门急诊费等）和社保外范围（进口药、自费药等）。中国人寿佛山分公司在本地推出康悦C百万医疗产品专销，仅二季度就售出2万件，受到佛山市民的高度肯定。35岁的男性每天不超2元钱，可以获得全年最高605万的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康宁保C、国寿福等保障型产品旨在为重疾病患补偿罹患重大疾病后的收入损失、后期长期的康复费用、住院医疗不能报销的各类花费，尽可能让病人家庭的生活不被疾病所改变。康宁保C产品还具有满期返还全部保费的特性，兼顾重疾保障和养老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以上产品组合的推出，旨在解决老百姓看病难、因病返贫、因病致贫的问题，为保基本民生和助力扶贫做出更大贡献。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（二）创新个人专属产品护持平安佛山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佛山分公司根据佛山客户的投保需求和意向，设计并推出了佛山地区专属的个人意外保障产品组合“护身福”，以高额意外保障（水陆空全面保障）搭配特定癌症保障，为佛山客户提供更全面的出行保险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（三）创新团体保险产品服务教育行业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1.抗疫组合产品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中国人寿推出“防疫情，保民生”系列产品，发挥保险优势支持小微企业共克时艰， “关爱保”、 “守护神”抗疫保障方案，以最低5元每人的优惠价格，为教育企业员工提供确诊新型冠状病毒肺炎导致身故/伤残保障。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2.关爱学生保险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幼儿、学生的特点，全面提升幼儿、学生的意外伤害、疾病医疗等综合保障，减轻家长和学校在幼儿、学生发生意外、疾病事故带来的经济负担，“关爱学生保险”是专为在校学生设计的带有公益性质的险种，具有保费低、保障高的特点，是学生健康成长的重要保障。方案组合如下：</w:t>
      </w:r>
    </w:p>
    <w:tbl>
      <w:tblPr>
        <w:tblStyle w:val="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2559"/>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9" w:type="dxa"/>
            <w:vAlign w:val="center"/>
          </w:tcPr>
          <w:p>
            <w:pPr>
              <w:spacing w:line="560" w:lineRule="exact"/>
              <w:jc w:val="center"/>
              <w:rPr>
                <w:rFonts w:ascii="仿宋" w:hAnsi="仿宋" w:eastAsia="仿宋" w:cs="仿宋_GB2312"/>
                <w:kern w:val="0"/>
                <w:sz w:val="30"/>
                <w:szCs w:val="30"/>
              </w:rPr>
            </w:pPr>
            <w:r>
              <w:rPr>
                <w:rFonts w:hint="eastAsia" w:ascii="仿宋" w:hAnsi="仿宋" w:eastAsia="仿宋" w:cs="仿宋_GB2312"/>
                <w:kern w:val="0"/>
                <w:sz w:val="30"/>
                <w:szCs w:val="30"/>
              </w:rPr>
              <w:t>保障内容</w:t>
            </w:r>
          </w:p>
        </w:tc>
        <w:tc>
          <w:tcPr>
            <w:tcW w:w="2559" w:type="dxa"/>
            <w:vAlign w:val="center"/>
          </w:tcPr>
          <w:p>
            <w:pPr>
              <w:spacing w:line="560" w:lineRule="exact"/>
              <w:jc w:val="center"/>
              <w:rPr>
                <w:rFonts w:ascii="仿宋" w:hAnsi="仿宋" w:eastAsia="仿宋" w:cs="仿宋_GB2312"/>
                <w:kern w:val="0"/>
                <w:sz w:val="30"/>
                <w:szCs w:val="30"/>
              </w:rPr>
            </w:pPr>
            <w:r>
              <w:rPr>
                <w:rFonts w:hint="eastAsia" w:ascii="仿宋" w:hAnsi="仿宋" w:eastAsia="仿宋" w:cs="仿宋_GB2312"/>
                <w:kern w:val="0"/>
                <w:sz w:val="30"/>
                <w:szCs w:val="30"/>
              </w:rPr>
              <w:t>保障金额（元）</w:t>
            </w:r>
          </w:p>
        </w:tc>
        <w:tc>
          <w:tcPr>
            <w:tcW w:w="2198" w:type="dxa"/>
            <w:vAlign w:val="center"/>
          </w:tcPr>
          <w:p>
            <w:pPr>
              <w:spacing w:line="560" w:lineRule="exact"/>
              <w:jc w:val="center"/>
              <w:rPr>
                <w:rFonts w:ascii="仿宋" w:hAnsi="仿宋" w:eastAsia="仿宋" w:cs="仿宋_GB2312"/>
                <w:kern w:val="0"/>
                <w:sz w:val="30"/>
                <w:szCs w:val="30"/>
              </w:rPr>
            </w:pPr>
            <w:r>
              <w:rPr>
                <w:rFonts w:hint="eastAsia" w:ascii="仿宋" w:hAnsi="仿宋" w:eastAsia="仿宋" w:cs="仿宋_GB2312"/>
                <w:kern w:val="0"/>
                <w:sz w:val="30"/>
                <w:szCs w:val="30"/>
              </w:rPr>
              <w:t>保险费（元）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9" w:type="dxa"/>
            <w:vAlign w:val="center"/>
          </w:tcPr>
          <w:p>
            <w:pPr>
              <w:spacing w:line="560" w:lineRule="exact"/>
              <w:jc w:val="center"/>
              <w:rPr>
                <w:rFonts w:ascii="仿宋" w:hAnsi="仿宋" w:eastAsia="仿宋" w:cs="仿宋_GB2312"/>
                <w:kern w:val="0"/>
                <w:sz w:val="30"/>
                <w:szCs w:val="30"/>
              </w:rPr>
            </w:pPr>
            <w:r>
              <w:rPr>
                <w:rFonts w:hint="eastAsia" w:ascii="仿宋" w:hAnsi="仿宋" w:eastAsia="仿宋" w:cs="仿宋_GB2312"/>
                <w:kern w:val="0"/>
                <w:sz w:val="30"/>
                <w:szCs w:val="30"/>
              </w:rPr>
              <w:t>疾病身故或意外身故</w:t>
            </w:r>
          </w:p>
        </w:tc>
        <w:tc>
          <w:tcPr>
            <w:tcW w:w="2559" w:type="dxa"/>
            <w:vAlign w:val="center"/>
          </w:tcPr>
          <w:p>
            <w:pPr>
              <w:spacing w:line="560" w:lineRule="exact"/>
              <w:jc w:val="center"/>
              <w:rPr>
                <w:rFonts w:ascii="仿宋" w:hAnsi="仿宋" w:eastAsia="仿宋" w:cs="仿宋_GB2312"/>
                <w:kern w:val="0"/>
                <w:sz w:val="30"/>
                <w:szCs w:val="30"/>
              </w:rPr>
            </w:pPr>
            <w:r>
              <w:rPr>
                <w:rFonts w:hint="eastAsia" w:ascii="仿宋" w:hAnsi="仿宋" w:eastAsia="仿宋" w:cs="仿宋_GB2312"/>
                <w:kern w:val="0"/>
                <w:sz w:val="30"/>
                <w:szCs w:val="30"/>
              </w:rPr>
              <w:t>20万</w:t>
            </w:r>
          </w:p>
        </w:tc>
        <w:tc>
          <w:tcPr>
            <w:tcW w:w="2198" w:type="dxa"/>
            <w:vMerge w:val="restart"/>
            <w:vAlign w:val="center"/>
          </w:tcPr>
          <w:p>
            <w:pPr>
              <w:spacing w:line="560" w:lineRule="exact"/>
              <w:jc w:val="center"/>
              <w:rPr>
                <w:rFonts w:ascii="仿宋" w:hAnsi="仿宋" w:eastAsia="仿宋" w:cs="仿宋_GB2312"/>
                <w:kern w:val="0"/>
                <w:sz w:val="30"/>
                <w:szCs w:val="30"/>
              </w:rPr>
            </w:pPr>
            <w:r>
              <w:rPr>
                <w:rFonts w:ascii="仿宋" w:hAnsi="仿宋" w:eastAsia="仿宋" w:cs="仿宋_GB2312"/>
                <w:kern w:val="0"/>
                <w:sz w:val="30"/>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9" w:type="dxa"/>
            <w:vAlign w:val="center"/>
          </w:tcPr>
          <w:p>
            <w:pPr>
              <w:spacing w:line="560" w:lineRule="exact"/>
              <w:jc w:val="center"/>
              <w:rPr>
                <w:rFonts w:ascii="仿宋" w:hAnsi="仿宋" w:eastAsia="仿宋" w:cs="仿宋_GB2312"/>
                <w:kern w:val="0"/>
                <w:sz w:val="30"/>
                <w:szCs w:val="30"/>
              </w:rPr>
            </w:pPr>
            <w:r>
              <w:rPr>
                <w:rFonts w:hint="eastAsia" w:ascii="仿宋" w:hAnsi="仿宋" w:eastAsia="仿宋" w:cs="仿宋_GB2312"/>
                <w:kern w:val="0"/>
                <w:sz w:val="30"/>
                <w:szCs w:val="30"/>
              </w:rPr>
              <w:t>意外伤害伤残</w:t>
            </w:r>
          </w:p>
        </w:tc>
        <w:tc>
          <w:tcPr>
            <w:tcW w:w="2559" w:type="dxa"/>
            <w:vAlign w:val="center"/>
          </w:tcPr>
          <w:p>
            <w:pPr>
              <w:spacing w:line="560" w:lineRule="exact"/>
              <w:jc w:val="center"/>
              <w:rPr>
                <w:rFonts w:ascii="仿宋" w:hAnsi="仿宋" w:eastAsia="仿宋" w:cs="仿宋_GB2312"/>
                <w:kern w:val="0"/>
                <w:sz w:val="30"/>
                <w:szCs w:val="30"/>
              </w:rPr>
            </w:pPr>
            <w:r>
              <w:rPr>
                <w:rFonts w:hint="eastAsia" w:ascii="仿宋" w:hAnsi="仿宋" w:eastAsia="仿宋" w:cs="仿宋_GB2312"/>
                <w:kern w:val="0"/>
                <w:sz w:val="30"/>
                <w:szCs w:val="30"/>
              </w:rPr>
              <w:t>20万</w:t>
            </w:r>
          </w:p>
        </w:tc>
        <w:tc>
          <w:tcPr>
            <w:tcW w:w="2198" w:type="dxa"/>
            <w:vMerge w:val="continue"/>
            <w:vAlign w:val="center"/>
          </w:tcPr>
          <w:p>
            <w:pPr>
              <w:spacing w:line="560" w:lineRule="exact"/>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9" w:type="dxa"/>
            <w:vAlign w:val="center"/>
          </w:tcPr>
          <w:p>
            <w:pPr>
              <w:spacing w:line="560" w:lineRule="exact"/>
              <w:jc w:val="center"/>
              <w:rPr>
                <w:rFonts w:ascii="仿宋" w:hAnsi="仿宋" w:eastAsia="仿宋" w:cs="仿宋_GB2312"/>
                <w:kern w:val="0"/>
                <w:sz w:val="30"/>
                <w:szCs w:val="30"/>
              </w:rPr>
            </w:pPr>
            <w:r>
              <w:rPr>
                <w:rFonts w:hint="eastAsia" w:ascii="仿宋" w:hAnsi="仿宋" w:eastAsia="仿宋" w:cs="仿宋_GB2312"/>
                <w:kern w:val="0"/>
                <w:sz w:val="30"/>
                <w:szCs w:val="30"/>
              </w:rPr>
              <w:t>意外伤害医疗费用</w:t>
            </w:r>
          </w:p>
        </w:tc>
        <w:tc>
          <w:tcPr>
            <w:tcW w:w="2559" w:type="dxa"/>
            <w:vAlign w:val="center"/>
          </w:tcPr>
          <w:p>
            <w:pPr>
              <w:spacing w:line="560" w:lineRule="exact"/>
              <w:jc w:val="center"/>
              <w:rPr>
                <w:rFonts w:ascii="仿宋" w:hAnsi="仿宋" w:eastAsia="仿宋" w:cs="仿宋_GB2312"/>
                <w:kern w:val="0"/>
                <w:sz w:val="30"/>
                <w:szCs w:val="30"/>
              </w:rPr>
            </w:pPr>
            <w:r>
              <w:rPr>
                <w:rFonts w:hint="eastAsia" w:ascii="仿宋" w:hAnsi="仿宋" w:eastAsia="仿宋" w:cs="仿宋_GB2312"/>
                <w:kern w:val="0"/>
                <w:sz w:val="30"/>
                <w:szCs w:val="30"/>
              </w:rPr>
              <w:t>1万</w:t>
            </w:r>
          </w:p>
        </w:tc>
        <w:tc>
          <w:tcPr>
            <w:tcW w:w="2198" w:type="dxa"/>
            <w:vMerge w:val="continue"/>
            <w:vAlign w:val="center"/>
          </w:tcPr>
          <w:p>
            <w:pPr>
              <w:spacing w:line="560" w:lineRule="exact"/>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9" w:type="dxa"/>
            <w:vAlign w:val="center"/>
          </w:tcPr>
          <w:p>
            <w:pPr>
              <w:spacing w:line="560" w:lineRule="exact"/>
              <w:jc w:val="center"/>
              <w:rPr>
                <w:rFonts w:ascii="仿宋" w:hAnsi="仿宋" w:eastAsia="仿宋" w:cs="仿宋_GB2312"/>
                <w:kern w:val="0"/>
                <w:sz w:val="30"/>
                <w:szCs w:val="30"/>
              </w:rPr>
            </w:pPr>
            <w:r>
              <w:rPr>
                <w:rFonts w:hint="eastAsia" w:ascii="仿宋" w:hAnsi="仿宋" w:eastAsia="仿宋" w:cs="仿宋_GB2312"/>
                <w:kern w:val="0"/>
                <w:sz w:val="30"/>
                <w:szCs w:val="30"/>
              </w:rPr>
              <w:t>住院医疗费用</w:t>
            </w:r>
          </w:p>
        </w:tc>
        <w:tc>
          <w:tcPr>
            <w:tcW w:w="2559" w:type="dxa"/>
            <w:vAlign w:val="center"/>
          </w:tcPr>
          <w:p>
            <w:pPr>
              <w:spacing w:line="560" w:lineRule="exact"/>
              <w:jc w:val="center"/>
              <w:rPr>
                <w:rFonts w:ascii="仿宋" w:hAnsi="仿宋" w:eastAsia="仿宋" w:cs="仿宋_GB2312"/>
                <w:kern w:val="0"/>
                <w:sz w:val="30"/>
                <w:szCs w:val="30"/>
              </w:rPr>
            </w:pPr>
            <w:r>
              <w:rPr>
                <w:rFonts w:hint="eastAsia" w:ascii="仿宋" w:hAnsi="仿宋" w:eastAsia="仿宋" w:cs="仿宋_GB2312"/>
                <w:kern w:val="0"/>
                <w:sz w:val="30"/>
                <w:szCs w:val="30"/>
              </w:rPr>
              <w:t>7万</w:t>
            </w:r>
          </w:p>
        </w:tc>
        <w:tc>
          <w:tcPr>
            <w:tcW w:w="2198" w:type="dxa"/>
            <w:vMerge w:val="continue"/>
            <w:vAlign w:val="center"/>
          </w:tcPr>
          <w:p>
            <w:pPr>
              <w:spacing w:line="560" w:lineRule="exact"/>
              <w:jc w:val="center"/>
              <w:rPr>
                <w:rFonts w:ascii="仿宋" w:hAnsi="仿宋" w:eastAsia="仿宋"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39" w:type="dxa"/>
            <w:vAlign w:val="center"/>
          </w:tcPr>
          <w:p>
            <w:pPr>
              <w:spacing w:line="560" w:lineRule="exact"/>
              <w:jc w:val="center"/>
              <w:rPr>
                <w:rFonts w:ascii="仿宋" w:hAnsi="仿宋" w:eastAsia="仿宋" w:cs="仿宋_GB2312"/>
                <w:kern w:val="0"/>
                <w:sz w:val="30"/>
                <w:szCs w:val="30"/>
              </w:rPr>
            </w:pPr>
            <w:r>
              <w:rPr>
                <w:rFonts w:hint="eastAsia" w:ascii="仿宋" w:hAnsi="仿宋" w:eastAsia="仿宋" w:cs="仿宋_GB2312"/>
                <w:kern w:val="0"/>
                <w:sz w:val="30"/>
                <w:szCs w:val="30"/>
              </w:rPr>
              <w:t>乘坐飞机遭受意外伤害</w:t>
            </w:r>
          </w:p>
        </w:tc>
        <w:tc>
          <w:tcPr>
            <w:tcW w:w="2559" w:type="dxa"/>
            <w:vAlign w:val="center"/>
          </w:tcPr>
          <w:p>
            <w:pPr>
              <w:spacing w:line="560" w:lineRule="exact"/>
              <w:jc w:val="center"/>
              <w:rPr>
                <w:rFonts w:ascii="仿宋" w:hAnsi="仿宋" w:eastAsia="仿宋" w:cs="仿宋_GB2312"/>
                <w:kern w:val="0"/>
                <w:sz w:val="30"/>
                <w:szCs w:val="30"/>
              </w:rPr>
            </w:pPr>
            <w:r>
              <w:rPr>
                <w:rFonts w:hint="eastAsia" w:ascii="仿宋" w:hAnsi="仿宋" w:eastAsia="仿宋" w:cs="仿宋_GB2312"/>
                <w:kern w:val="0"/>
                <w:sz w:val="30"/>
                <w:szCs w:val="30"/>
              </w:rPr>
              <w:t>30万</w:t>
            </w:r>
          </w:p>
        </w:tc>
        <w:tc>
          <w:tcPr>
            <w:tcW w:w="2198" w:type="dxa"/>
            <w:vMerge w:val="continue"/>
            <w:vAlign w:val="center"/>
          </w:tcPr>
          <w:p>
            <w:pPr>
              <w:spacing w:line="560" w:lineRule="exact"/>
              <w:jc w:val="center"/>
              <w:rPr>
                <w:rFonts w:ascii="仿宋" w:hAnsi="仿宋" w:eastAsia="仿宋" w:cs="仿宋_GB2312"/>
                <w:kern w:val="0"/>
                <w:sz w:val="30"/>
                <w:szCs w:val="30"/>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保险期间：1年期。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保障人群：3-40周岁身体健康，能正常学习和生活的大、中、小学学生和幼儿可投保。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疾病等待期：90天。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意外伤害医疗：免赔额50元，赔付比例80%。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住院医疗补偿：免赔额100元，赔付比例区分有社保和无社保。</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3.教育工作者专项保险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仿宋" w:hAnsi="仿宋" w:eastAsia="仿宋"/>
          <w:sz w:val="32"/>
          <w:szCs w:val="32"/>
        </w:rPr>
      </w:pPr>
      <w:r>
        <w:rPr>
          <w:rFonts w:hint="eastAsia" w:ascii="仿宋_GB2312" w:hAnsi="仿宋_GB2312" w:eastAsia="仿宋_GB2312" w:cs="仿宋_GB2312"/>
          <w:sz w:val="32"/>
          <w:szCs w:val="32"/>
        </w:rPr>
        <w:t>针对教育工作者有社保保障及单位福利较充足的情况，本方案重点针对意外伤害、交通意外、重大疾病等方面进行了补充，既能跟社保错位补充，也能实现保障的全面性。方案内容如下：</w:t>
      </w:r>
    </w:p>
    <w:tbl>
      <w:tblPr>
        <w:tblStyle w:val="5"/>
        <w:tblW w:w="8745" w:type="dxa"/>
        <w:tblInd w:w="0" w:type="dxa"/>
        <w:tblLayout w:type="fixed"/>
        <w:tblCellMar>
          <w:top w:w="0" w:type="dxa"/>
          <w:left w:w="108" w:type="dxa"/>
          <w:bottom w:w="0" w:type="dxa"/>
          <w:right w:w="108" w:type="dxa"/>
        </w:tblCellMar>
      </w:tblPr>
      <w:tblGrid>
        <w:gridCol w:w="1749"/>
        <w:gridCol w:w="1749"/>
        <w:gridCol w:w="1749"/>
        <w:gridCol w:w="1749"/>
        <w:gridCol w:w="1749"/>
      </w:tblGrid>
      <w:tr>
        <w:tblPrEx>
          <w:tblLayout w:type="fixed"/>
          <w:tblCellMar>
            <w:top w:w="0" w:type="dxa"/>
            <w:left w:w="108" w:type="dxa"/>
            <w:bottom w:w="0" w:type="dxa"/>
            <w:right w:w="108" w:type="dxa"/>
          </w:tblCellMar>
        </w:tblPrEx>
        <w:trPr>
          <w:trHeight w:val="528" w:hRule="atLeast"/>
        </w:trPr>
        <w:tc>
          <w:tcPr>
            <w:tcW w:w="17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保障责任</w:t>
            </w:r>
          </w:p>
        </w:tc>
        <w:tc>
          <w:tcPr>
            <w:tcW w:w="1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方案一</w:t>
            </w:r>
          </w:p>
        </w:tc>
        <w:tc>
          <w:tcPr>
            <w:tcW w:w="1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方案二</w:t>
            </w:r>
          </w:p>
        </w:tc>
        <w:tc>
          <w:tcPr>
            <w:tcW w:w="1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方案三</w:t>
            </w:r>
          </w:p>
        </w:tc>
        <w:tc>
          <w:tcPr>
            <w:tcW w:w="1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方案四</w:t>
            </w:r>
          </w:p>
        </w:tc>
      </w:tr>
      <w:tr>
        <w:tblPrEx>
          <w:tblLayout w:type="fixed"/>
          <w:tblCellMar>
            <w:top w:w="0" w:type="dxa"/>
            <w:left w:w="108" w:type="dxa"/>
            <w:bottom w:w="0" w:type="dxa"/>
            <w:right w:w="108" w:type="dxa"/>
          </w:tblCellMar>
        </w:tblPrEx>
        <w:trPr>
          <w:trHeight w:val="521" w:hRule="atLeast"/>
        </w:trPr>
        <w:tc>
          <w:tcPr>
            <w:tcW w:w="17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基础计划1</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基础计划2</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幸福计划</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美满计划</w:t>
            </w:r>
          </w:p>
        </w:tc>
      </w:tr>
      <w:tr>
        <w:tblPrEx>
          <w:tblLayout w:type="fixed"/>
          <w:tblCellMar>
            <w:top w:w="0" w:type="dxa"/>
            <w:left w:w="108" w:type="dxa"/>
            <w:bottom w:w="0" w:type="dxa"/>
            <w:right w:w="108" w:type="dxa"/>
          </w:tblCellMar>
        </w:tblPrEx>
        <w:trPr>
          <w:trHeight w:val="521" w:hRule="atLeast"/>
        </w:trPr>
        <w:tc>
          <w:tcPr>
            <w:tcW w:w="17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意外伤害身故</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20万元/人</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30万元/人</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40万元/人</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40万元/人</w:t>
            </w:r>
          </w:p>
        </w:tc>
      </w:tr>
      <w:tr>
        <w:tblPrEx>
          <w:tblLayout w:type="fixed"/>
          <w:tblCellMar>
            <w:top w:w="0" w:type="dxa"/>
            <w:left w:w="108" w:type="dxa"/>
            <w:bottom w:w="0" w:type="dxa"/>
            <w:right w:w="108" w:type="dxa"/>
          </w:tblCellMar>
        </w:tblPrEx>
        <w:trPr>
          <w:trHeight w:val="521" w:hRule="atLeast"/>
        </w:trPr>
        <w:tc>
          <w:tcPr>
            <w:tcW w:w="17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意外伤害伤残</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20万元/人</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30万元/人</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40万元/人</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40万元/人</w:t>
            </w:r>
          </w:p>
        </w:tc>
      </w:tr>
      <w:tr>
        <w:tblPrEx>
          <w:tblLayout w:type="fixed"/>
          <w:tblCellMar>
            <w:top w:w="0" w:type="dxa"/>
            <w:left w:w="108" w:type="dxa"/>
            <w:bottom w:w="0" w:type="dxa"/>
            <w:right w:w="108" w:type="dxa"/>
          </w:tblCellMar>
        </w:tblPrEx>
        <w:trPr>
          <w:trHeight w:val="603" w:hRule="atLeast"/>
        </w:trPr>
        <w:tc>
          <w:tcPr>
            <w:tcW w:w="17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意外伤害医疗保险金</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1万元/人</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2万元/人</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3万元/人</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3万元/人</w:t>
            </w:r>
          </w:p>
        </w:tc>
      </w:tr>
      <w:tr>
        <w:tblPrEx>
          <w:tblLayout w:type="fixed"/>
          <w:tblCellMar>
            <w:top w:w="0" w:type="dxa"/>
            <w:left w:w="108" w:type="dxa"/>
            <w:bottom w:w="0" w:type="dxa"/>
            <w:right w:w="108" w:type="dxa"/>
          </w:tblCellMar>
        </w:tblPrEx>
        <w:trPr>
          <w:trHeight w:val="1338" w:hRule="atLeast"/>
        </w:trPr>
        <w:tc>
          <w:tcPr>
            <w:tcW w:w="17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交通工具意外伤害保障(驾驶或搭乘)</w:t>
            </w:r>
          </w:p>
        </w:tc>
        <w:tc>
          <w:tcPr>
            <w:tcW w:w="17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100万/人（飞机40万，轨道交通、轮船、汽车各20万）</w:t>
            </w:r>
          </w:p>
        </w:tc>
        <w:tc>
          <w:tcPr>
            <w:tcW w:w="17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100万/人（飞机40万，轨道交通、轮船、汽车各20万）</w:t>
            </w:r>
          </w:p>
        </w:tc>
        <w:tc>
          <w:tcPr>
            <w:tcW w:w="17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100万/人（飞机40万，轨道交通、轮船、汽车各20万）</w:t>
            </w:r>
          </w:p>
        </w:tc>
        <w:tc>
          <w:tcPr>
            <w:tcW w:w="17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100万/人（飞机40万，轨道交通、轮船、汽车各20万）</w:t>
            </w:r>
          </w:p>
        </w:tc>
      </w:tr>
      <w:tr>
        <w:tblPrEx>
          <w:tblLayout w:type="fixed"/>
          <w:tblCellMar>
            <w:top w:w="0" w:type="dxa"/>
            <w:left w:w="108" w:type="dxa"/>
            <w:bottom w:w="0" w:type="dxa"/>
            <w:right w:w="108" w:type="dxa"/>
          </w:tblCellMar>
        </w:tblPrEx>
        <w:trPr>
          <w:trHeight w:val="402" w:hRule="atLeast"/>
        </w:trPr>
        <w:tc>
          <w:tcPr>
            <w:tcW w:w="17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重大疾病保险金</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10万元/人</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20万元/人</w:t>
            </w:r>
          </w:p>
        </w:tc>
      </w:tr>
      <w:tr>
        <w:tblPrEx>
          <w:tblLayout w:type="fixed"/>
          <w:tblCellMar>
            <w:top w:w="0" w:type="dxa"/>
            <w:left w:w="108" w:type="dxa"/>
            <w:bottom w:w="0" w:type="dxa"/>
            <w:right w:w="108" w:type="dxa"/>
          </w:tblCellMar>
        </w:tblPrEx>
        <w:trPr>
          <w:trHeight w:val="260" w:hRule="atLeast"/>
        </w:trPr>
        <w:tc>
          <w:tcPr>
            <w:tcW w:w="17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保险费</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160元/人</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260元/人</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460元/人</w:t>
            </w:r>
          </w:p>
        </w:tc>
        <w:tc>
          <w:tcPr>
            <w:tcW w:w="174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660元/人</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保险期间：一年期。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疾病等待期：30天。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保障人群：年龄在18-60周岁，身体健康，能正常学习和工作的全市在岗在职教育工作者。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意外伤害医疗：免赔额0元，赔付比例100%。</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4.“警家校”护畅队保障方案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针对“警家校”三方共建的校园护畅模式，为护畅参与者提供高额人身意外伤害保障，保障护畅参与者在所指定的护畅学校路段参与学校每天上学、放学护畅过程中遭受意外伤害导致身故、伤残、医疗费用支出。方案内容如下：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保障项目：意外伤害身故/残疾保障，保障金融50万元；意外伤害医疗费用(包括住院及门诊)，保障金额5万元。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保障人群：学校（幼儿园）参与“警家校”护畅活动的人员均作为被保险人。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保险期间：1年期。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投保方式：教育机构或学校统一投保，无清单模式。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意外伤害医疗：免赔额100元，赔付比例100%。</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5.企业年金留才计划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针对教育机构优化人才管理和丰富教育工作者养老福利，推出国寿养老受托企业年金留才计划，更好地保障职工退休后的生活。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（1）计划简介</w:t>
      </w:r>
    </w:p>
    <w:tbl>
      <w:tblPr>
        <w:tblStyle w:val="5"/>
        <w:tblW w:w="8576" w:type="dxa"/>
        <w:tblInd w:w="0" w:type="dxa"/>
        <w:tblLayout w:type="fixed"/>
        <w:tblCellMar>
          <w:top w:w="0" w:type="dxa"/>
          <w:left w:w="108" w:type="dxa"/>
          <w:bottom w:w="0" w:type="dxa"/>
          <w:right w:w="108" w:type="dxa"/>
        </w:tblCellMar>
      </w:tblPr>
      <w:tblGrid>
        <w:gridCol w:w="1094"/>
        <w:gridCol w:w="1736"/>
        <w:gridCol w:w="1308"/>
        <w:gridCol w:w="1092"/>
        <w:gridCol w:w="1092"/>
        <w:gridCol w:w="1092"/>
        <w:gridCol w:w="1162"/>
      </w:tblGrid>
      <w:tr>
        <w:tblPrEx>
          <w:tblLayout w:type="fixed"/>
          <w:tblCellMar>
            <w:top w:w="0" w:type="dxa"/>
            <w:left w:w="108" w:type="dxa"/>
            <w:bottom w:w="0" w:type="dxa"/>
            <w:right w:w="108" w:type="dxa"/>
          </w:tblCellMar>
        </w:tblPrEx>
        <w:trPr>
          <w:trHeight w:val="546" w:hRule="atLeast"/>
        </w:trPr>
        <w:tc>
          <w:tcPr>
            <w:tcW w:w="10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计划名称</w:t>
            </w:r>
          </w:p>
        </w:tc>
        <w:tc>
          <w:tcPr>
            <w:tcW w:w="17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计划登记号</w:t>
            </w:r>
          </w:p>
        </w:tc>
        <w:tc>
          <w:tcPr>
            <w:tcW w:w="1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受托机构</w:t>
            </w:r>
          </w:p>
        </w:tc>
        <w:tc>
          <w:tcPr>
            <w:tcW w:w="10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账管机构</w:t>
            </w:r>
          </w:p>
        </w:tc>
        <w:tc>
          <w:tcPr>
            <w:tcW w:w="10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托管机构</w:t>
            </w:r>
          </w:p>
        </w:tc>
        <w:tc>
          <w:tcPr>
            <w:tcW w:w="10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投管机构</w:t>
            </w:r>
          </w:p>
        </w:tc>
        <w:tc>
          <w:tcPr>
            <w:tcW w:w="11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2019年综合收益率</w:t>
            </w:r>
          </w:p>
        </w:tc>
      </w:tr>
      <w:tr>
        <w:tblPrEx>
          <w:tblLayout w:type="fixed"/>
          <w:tblCellMar>
            <w:top w:w="0" w:type="dxa"/>
            <w:left w:w="108" w:type="dxa"/>
            <w:bottom w:w="0" w:type="dxa"/>
            <w:right w:w="108" w:type="dxa"/>
          </w:tblCellMar>
        </w:tblPrEx>
        <w:trPr>
          <w:trHeight w:val="1137" w:hRule="atLeast"/>
        </w:trPr>
        <w:tc>
          <w:tcPr>
            <w:tcW w:w="10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国寿永丰企业年金集合计划</w:t>
            </w:r>
          </w:p>
        </w:tc>
        <w:tc>
          <w:tcPr>
            <w:tcW w:w="173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99JH20110028</w:t>
            </w:r>
          </w:p>
        </w:tc>
        <w:tc>
          <w:tcPr>
            <w:tcW w:w="13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中国人寿养老保险股份有限公司</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中国人寿养老保险股份有限公司</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中国农业银行股份有限公司</w:t>
            </w:r>
          </w:p>
        </w:tc>
        <w:tc>
          <w:tcPr>
            <w:tcW w:w="10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中国人寿养老保险股份有限公司</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7.25%</w:t>
            </w:r>
          </w:p>
        </w:tc>
      </w:tr>
    </w:tbl>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（2）计划管理费</w:t>
      </w:r>
    </w:p>
    <w:tbl>
      <w:tblPr>
        <w:tblStyle w:val="5"/>
        <w:tblW w:w="8608" w:type="dxa"/>
        <w:tblInd w:w="0" w:type="dxa"/>
        <w:tblLayout w:type="fixed"/>
        <w:tblCellMar>
          <w:top w:w="0" w:type="dxa"/>
          <w:left w:w="108" w:type="dxa"/>
          <w:bottom w:w="0" w:type="dxa"/>
          <w:right w:w="108" w:type="dxa"/>
        </w:tblCellMar>
      </w:tblPr>
      <w:tblGrid>
        <w:gridCol w:w="1776"/>
        <w:gridCol w:w="1776"/>
        <w:gridCol w:w="5056"/>
      </w:tblGrid>
      <w:tr>
        <w:tblPrEx>
          <w:tblLayout w:type="fixed"/>
          <w:tblCellMar>
            <w:top w:w="0" w:type="dxa"/>
            <w:left w:w="108" w:type="dxa"/>
            <w:bottom w:w="0" w:type="dxa"/>
            <w:right w:w="108" w:type="dxa"/>
          </w:tblCellMar>
        </w:tblPrEx>
        <w:trPr>
          <w:trHeight w:val="576" w:hRule="atLeast"/>
        </w:trPr>
        <w:tc>
          <w:tcPr>
            <w:tcW w:w="1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类型</w:t>
            </w:r>
          </w:p>
        </w:tc>
        <w:tc>
          <w:tcPr>
            <w:tcW w:w="17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细项</w:t>
            </w:r>
          </w:p>
        </w:tc>
        <w:tc>
          <w:tcPr>
            <w:tcW w:w="50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管理费</w:t>
            </w:r>
          </w:p>
        </w:tc>
      </w:tr>
      <w:tr>
        <w:tblPrEx>
          <w:tblLayout w:type="fixed"/>
          <w:tblCellMar>
            <w:top w:w="0" w:type="dxa"/>
            <w:left w:w="108" w:type="dxa"/>
            <w:bottom w:w="0" w:type="dxa"/>
            <w:right w:w="108" w:type="dxa"/>
          </w:tblCellMar>
        </w:tblPrEx>
        <w:trPr>
          <w:trHeight w:val="468" w:hRule="atLeast"/>
        </w:trPr>
        <w:tc>
          <w:tcPr>
            <w:tcW w:w="17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受托费</w:t>
            </w:r>
          </w:p>
        </w:tc>
        <w:tc>
          <w:tcPr>
            <w:tcW w:w="1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c>
          <w:tcPr>
            <w:tcW w:w="5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按财产净值的0.12%/年</w:t>
            </w:r>
          </w:p>
        </w:tc>
      </w:tr>
      <w:tr>
        <w:tblPrEx>
          <w:tblLayout w:type="fixed"/>
          <w:tblCellMar>
            <w:top w:w="0" w:type="dxa"/>
            <w:left w:w="108" w:type="dxa"/>
            <w:bottom w:w="0" w:type="dxa"/>
            <w:right w:w="108" w:type="dxa"/>
          </w:tblCellMar>
        </w:tblPrEx>
        <w:trPr>
          <w:trHeight w:val="288" w:hRule="atLeast"/>
        </w:trPr>
        <w:tc>
          <w:tcPr>
            <w:tcW w:w="17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账管费</w:t>
            </w:r>
          </w:p>
        </w:tc>
        <w:tc>
          <w:tcPr>
            <w:tcW w:w="1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c>
          <w:tcPr>
            <w:tcW w:w="5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1元/户/月</w:t>
            </w:r>
          </w:p>
        </w:tc>
      </w:tr>
      <w:tr>
        <w:tblPrEx>
          <w:tblLayout w:type="fixed"/>
          <w:tblCellMar>
            <w:top w:w="0" w:type="dxa"/>
            <w:left w:w="108" w:type="dxa"/>
            <w:bottom w:w="0" w:type="dxa"/>
            <w:right w:w="108" w:type="dxa"/>
          </w:tblCellMar>
        </w:tblPrEx>
        <w:trPr>
          <w:trHeight w:val="288" w:hRule="atLeast"/>
        </w:trPr>
        <w:tc>
          <w:tcPr>
            <w:tcW w:w="17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托管费</w:t>
            </w:r>
          </w:p>
        </w:tc>
        <w:tc>
          <w:tcPr>
            <w:tcW w:w="1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　</w:t>
            </w:r>
          </w:p>
        </w:tc>
        <w:tc>
          <w:tcPr>
            <w:tcW w:w="5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按财产净值的0.13%/年</w:t>
            </w:r>
          </w:p>
        </w:tc>
      </w:tr>
      <w:tr>
        <w:tblPrEx>
          <w:tblLayout w:type="fixed"/>
          <w:tblCellMar>
            <w:top w:w="0" w:type="dxa"/>
            <w:left w:w="108" w:type="dxa"/>
            <w:bottom w:w="0" w:type="dxa"/>
            <w:right w:w="108" w:type="dxa"/>
          </w:tblCellMar>
        </w:tblPrEx>
        <w:trPr>
          <w:trHeight w:val="288" w:hRule="atLeast"/>
        </w:trPr>
        <w:tc>
          <w:tcPr>
            <w:tcW w:w="17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投管费</w:t>
            </w:r>
          </w:p>
        </w:tc>
        <w:tc>
          <w:tcPr>
            <w:tcW w:w="1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成长</w:t>
            </w:r>
          </w:p>
        </w:tc>
        <w:tc>
          <w:tcPr>
            <w:tcW w:w="5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按财产净值的0.9%/年</w:t>
            </w:r>
          </w:p>
        </w:tc>
      </w:tr>
      <w:tr>
        <w:tblPrEx>
          <w:tblLayout w:type="fixed"/>
          <w:tblCellMar>
            <w:top w:w="0" w:type="dxa"/>
            <w:left w:w="108" w:type="dxa"/>
            <w:bottom w:w="0" w:type="dxa"/>
            <w:right w:w="108" w:type="dxa"/>
          </w:tblCellMar>
        </w:tblPrEx>
        <w:trPr>
          <w:trHeight w:val="288" w:hRule="atLeast"/>
        </w:trPr>
        <w:tc>
          <w:tcPr>
            <w:tcW w:w="17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24"/>
                <w:szCs w:val="24"/>
              </w:rPr>
            </w:pPr>
          </w:p>
        </w:tc>
        <w:tc>
          <w:tcPr>
            <w:tcW w:w="1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稳健</w:t>
            </w:r>
          </w:p>
        </w:tc>
        <w:tc>
          <w:tcPr>
            <w:tcW w:w="5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按财产净值的0.8%/年</w:t>
            </w:r>
          </w:p>
        </w:tc>
      </w:tr>
      <w:tr>
        <w:tblPrEx>
          <w:tblLayout w:type="fixed"/>
          <w:tblCellMar>
            <w:top w:w="0" w:type="dxa"/>
            <w:left w:w="108" w:type="dxa"/>
            <w:bottom w:w="0" w:type="dxa"/>
            <w:right w:w="108" w:type="dxa"/>
          </w:tblCellMar>
        </w:tblPrEx>
        <w:trPr>
          <w:trHeight w:val="288" w:hRule="atLeast"/>
        </w:trPr>
        <w:tc>
          <w:tcPr>
            <w:tcW w:w="17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 w:val="24"/>
                <w:szCs w:val="24"/>
              </w:rPr>
            </w:pPr>
          </w:p>
        </w:tc>
        <w:tc>
          <w:tcPr>
            <w:tcW w:w="17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避险</w:t>
            </w:r>
          </w:p>
        </w:tc>
        <w:tc>
          <w:tcPr>
            <w:tcW w:w="50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按财产净值的0.5%/年</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发挥科技</w:t>
      </w:r>
      <w:r>
        <w:rPr>
          <w:rFonts w:hint="eastAsia" w:ascii="黑体" w:hAnsi="黑体" w:eastAsia="黑体"/>
          <w:sz w:val="32"/>
          <w:szCs w:val="32"/>
        </w:rPr>
        <w:t>支撑</w:t>
      </w:r>
      <w:r>
        <w:rPr>
          <w:rFonts w:ascii="黑体" w:hAnsi="黑体" w:eastAsia="黑体"/>
          <w:sz w:val="32"/>
          <w:szCs w:val="32"/>
        </w:rPr>
        <w:t>作用</w:t>
      </w:r>
      <w:r>
        <w:rPr>
          <w:rFonts w:hint="eastAsia" w:ascii="黑体" w:hAnsi="黑体" w:eastAsia="黑体"/>
          <w:sz w:val="32"/>
          <w:szCs w:val="32"/>
        </w:rPr>
        <w:t>，守护人民美好生活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把金融科技作为驱动转型发展的关键要素，借力移动互联发挥科技优势，不断进行服务手段创新，努力打造以客户为中心，以互联网为特征，以敏捷响应、安全可靠、行业领先为目标的综合业务处理系统和客户服务生态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（一）理赔直付缓解理赔难问题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解决群众“理赔难”问题，中国人寿在一些城市，已率先开设医院驻点服务的“直报”窗口，推进“基本医保+商业保险”直赔模式，实现医保、商保一站式便捷服务。目前，中国人寿在佛山本地与个别医院开展了“直赔服务”合作，取得一定效果，群众满意度较高，正在积极推进理赔直赔模式进一步覆盖佛山其他医院，借鉴国寿系统内其他地市先进经验，为佛山市建立数字健康保险交易平台实现理赔直付试点工作做出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（二）对接政府应用创新服务模式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数字政府改革建设2020年工作要点》（粤办函〔2020〕20号）将擦亮“粤省事”品牌、优化一体化政务服务平台列入重点项目。中国人寿佛山分公司当前积极与“数字广东公司”洽谈磋商，拟通过科技手段对接“数字广东”，入驻“粤省事”、政务服务一体机，为佛山市民提供在线保险的承保和理赔等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sz w:val="32"/>
          <w:szCs w:val="32"/>
        </w:rPr>
      </w:pPr>
      <w:r>
        <w:rPr>
          <w:rFonts w:hint="eastAsia" w:ascii="楷体" w:hAnsi="楷体" w:eastAsia="楷体" w:cs="楷体"/>
          <w:b/>
          <w:bCs/>
          <w:sz w:val="32"/>
          <w:szCs w:val="32"/>
        </w:rPr>
        <w:t>（三）快捷投保服务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个人产品、教育机构服务方案组合产品均可通过微信端链接自费投保，次日生效。</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（四）驻点上门服务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中国人寿配备专业服务团队，提供上门服务，响应各级服务需求。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详情可直接联系中国人寿佛山分公司各片区营业网点（具体详见附表），提出个性化服务需求，佛山国寿团队将7*24小时实时响应，并提供绿色通道应急专属服务。</w:t>
      </w:r>
    </w:p>
    <w:p>
      <w:pPr>
        <w:spacing w:line="560" w:lineRule="atLeast"/>
        <w:rPr>
          <w:rFonts w:hint="eastAsia" w:ascii="黑体" w:hAnsi="黑体" w:eastAsia="黑体" w:cs="黑体"/>
          <w:b w:val="0"/>
          <w:bCs w:val="0"/>
          <w:sz w:val="32"/>
          <w:szCs w:val="32"/>
        </w:rPr>
      </w:pPr>
      <w:r>
        <w:rPr>
          <w:rFonts w:hint="eastAsia" w:ascii="黑体" w:hAnsi="黑体" w:eastAsia="黑体" w:cs="黑体"/>
          <w:b w:val="0"/>
          <w:bCs w:val="0"/>
          <w:sz w:val="32"/>
          <w:szCs w:val="32"/>
        </w:rPr>
        <w:t>附表：</w:t>
      </w:r>
    </w:p>
    <w:p>
      <w:pPr>
        <w:spacing w:line="560" w:lineRule="atLeas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中国人寿佛山分公司主要对接人名单</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3604"/>
        <w:gridCol w:w="3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片区</w:t>
            </w:r>
          </w:p>
        </w:tc>
        <w:tc>
          <w:tcPr>
            <w:tcW w:w="360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个人业务主要对接人</w:t>
            </w:r>
          </w:p>
        </w:tc>
        <w:tc>
          <w:tcPr>
            <w:tcW w:w="358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顺德</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张敏</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18029309800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三水</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卢伟荣</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15920716533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高明</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吴燕龙</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13528975285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大沥</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李炎</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13435409675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南海</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张北平</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15007571430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城区</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陈月献</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18038829288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西樵</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冯知强</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13927265489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狮山</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杨勇涛</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15899838975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片区</w:t>
            </w:r>
          </w:p>
        </w:tc>
        <w:tc>
          <w:tcPr>
            <w:tcW w:w="360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团体业务主要对接人</w:t>
            </w:r>
          </w:p>
        </w:tc>
        <w:tc>
          <w:tcPr>
            <w:tcW w:w="358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禅城</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杨威威</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13702924885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南海</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马涛</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13702973659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顺德</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刘程平</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13902899481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三水</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杨展平</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13703069594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高明</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魏波</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13630016520</w:t>
            </w:r>
          </w:p>
        </w:tc>
      </w:tr>
    </w:tbl>
    <w:p>
      <w:pPr>
        <w:jc w:val="center"/>
        <w:rPr>
          <w:rFonts w:ascii="仿宋_GB2312" w:hAnsi="黑体" w:eastAsia="仿宋_GB2312"/>
          <w:sz w:val="32"/>
          <w:szCs w:val="32"/>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12"/>
    <w:rsid w:val="000B521D"/>
    <w:rsid w:val="001148EB"/>
    <w:rsid w:val="001757BF"/>
    <w:rsid w:val="001F7D98"/>
    <w:rsid w:val="00241837"/>
    <w:rsid w:val="00255FBE"/>
    <w:rsid w:val="002A100E"/>
    <w:rsid w:val="003133F6"/>
    <w:rsid w:val="003973A5"/>
    <w:rsid w:val="003A000C"/>
    <w:rsid w:val="004A3EB5"/>
    <w:rsid w:val="004A3ED5"/>
    <w:rsid w:val="004E6B74"/>
    <w:rsid w:val="0056744C"/>
    <w:rsid w:val="005C693D"/>
    <w:rsid w:val="00692B61"/>
    <w:rsid w:val="006F12CB"/>
    <w:rsid w:val="00715A4C"/>
    <w:rsid w:val="00723787"/>
    <w:rsid w:val="0076091B"/>
    <w:rsid w:val="0081761C"/>
    <w:rsid w:val="00856DE6"/>
    <w:rsid w:val="00882296"/>
    <w:rsid w:val="008B1043"/>
    <w:rsid w:val="008D141C"/>
    <w:rsid w:val="008E22C1"/>
    <w:rsid w:val="008E4DCC"/>
    <w:rsid w:val="009B5685"/>
    <w:rsid w:val="00A33859"/>
    <w:rsid w:val="00A832A0"/>
    <w:rsid w:val="00AD361E"/>
    <w:rsid w:val="00B01265"/>
    <w:rsid w:val="00B02293"/>
    <w:rsid w:val="00B106E1"/>
    <w:rsid w:val="00CA58B0"/>
    <w:rsid w:val="00CB3C4F"/>
    <w:rsid w:val="00DA2357"/>
    <w:rsid w:val="00DF2D0F"/>
    <w:rsid w:val="00DF72EB"/>
    <w:rsid w:val="00E60469"/>
    <w:rsid w:val="00E94451"/>
    <w:rsid w:val="00EC7A12"/>
    <w:rsid w:val="00EE2017"/>
    <w:rsid w:val="04CF12BB"/>
    <w:rsid w:val="3D95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4"/>
    <w:link w:val="3"/>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E8D38F-BE87-4268-BB31-B63832F8BF54}">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8</Pages>
  <Words>504</Words>
  <Characters>2873</Characters>
  <Lines>23</Lines>
  <Paragraphs>6</Paragraphs>
  <TotalTime>10</TotalTime>
  <ScaleCrop>false</ScaleCrop>
  <LinksUpToDate>false</LinksUpToDate>
  <CharactersWithSpaces>3371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2020-07-08T02:11:00Z</dcterms:created>
  <dc:creator>dw1029</dc:creator>
  <cp:lastModifiedBy>田奇</cp:lastModifiedBy>
  <cp:lastPrinted>2020-07-04T03:11:00Z</cp:lastPrinted>
  <dcterms:modified xsi:type="dcterms:W3CDTF">2020-07-08T03:29:25Z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