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中国人寿佛山分公司支持“六稳”“六保”</w:t>
      </w:r>
      <w:bookmarkStart w:id="0" w:name="_Hlk44938716"/>
      <w:r>
        <w:rPr>
          <w:rFonts w:hint="eastAsia" w:ascii="方正小标宋简体" w:hAnsi="方正小标宋简体" w:eastAsia="方正小标宋简体" w:cs="方正小标宋简体"/>
          <w:sz w:val="44"/>
          <w:szCs w:val="44"/>
        </w:rPr>
        <w:t>服务</w:t>
      </w:r>
      <w:bookmarkEnd w:id="0"/>
      <w:r>
        <w:rPr>
          <w:rFonts w:hint="eastAsia" w:ascii="方正小标宋简体" w:hAnsi="方正小标宋简体" w:eastAsia="方正小标宋简体" w:cs="方正小标宋简体"/>
          <w:sz w:val="44"/>
          <w:szCs w:val="44"/>
        </w:rPr>
        <w:t>退役军人创业企业综合方案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方正粗雅宋长_GBK" w:eastAsia="方正粗雅宋长_GBK"/>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中国人寿佛山分公司作为国有金融保险集团的地方机构，始终坚持金融服务实体经济，贯彻落实党中央“六稳”“六保”工作要求， 立足国有保险企业职责，根据集团稳中求进、前瞻谋划、综合施策的原则，扎实做好“六稳”工作、全面落实“六保”任务，充分发挥综合金融优势以及服务优势，制定服务退役军人创业企业综合方案，维护经济发展和社会稳定大局，助力决战决胜脱贫攻坚、全面建成小康社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一、创新个人保障产品保障民生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（一）全面保障型产品完善社会保险体系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聚焦助推脱贫攻坚，补充完善社会保障体系，推出种类齐全的保障型产品，其中康悦C百万医疗产品致力于解决老百姓在社保、大病保险、新农合等保障以外，看病治病自费范围费用，报销额度高（最高保额605万），报销涵盖范围广，包括普通医疗费用（诊疗费、手术费、检查费、治疗费、院前住院门急诊费等）和社保外范围（进口药、自费药等）。中国人寿佛山分公司在本地推出康悦C百万医疗产品专销，仅二季度就售出2万件，受到佛山市民的高度肯定。35岁的男性每天不超2元钱，可以获得全年最高605万的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康宁保C、国寿福等保障型产品旨在为重疾病患补偿罹患重大疾病后的收入损失、后期长期的康复费用、住院医疗不能报销的各类花费，尽可能让病人家庭的生活不被疾病所改变。康宁保C产品还具有满期返还全部保费的特性，兼顾重疾保障和养老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以上产品组合的推出，旨在解决老百姓看病难、因病返贫、因病致贫的问题，为保基本民生和助力扶贫做出更大贡献。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（二）创新个人专属产品护持平安佛山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佛山分公司根据佛山客户的投保需求和意向，设计并推出了佛山地区专属的个人意外保障产品组合“护身福”，以高额意外保障（水陆空全面保障）搭配特定癌症保障，为佛山客户提供更全面的出行保险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（三）创新团体保险产品服务退役军人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bookmarkStart w:id="1" w:name="_GoBack"/>
      <w:bookmarkEnd w:id="1"/>
      <w:r>
        <w:rPr>
          <w:rFonts w:hint="eastAsia" w:ascii="仿宋_GB2312" w:hAnsi="仿宋_GB2312" w:eastAsia="仿宋_GB2312" w:cs="仿宋_GB2312"/>
          <w:b/>
          <w:bCs/>
          <w:sz w:val="32"/>
          <w:szCs w:val="32"/>
        </w:rPr>
        <w:t>1.“仁军保”公益活动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仁军保”服务以保险公益捐赠活动形式，对2020-2022年退役士兵捐赠“仁军保”人身意外伤害保险，优先推进退役士兵群体保障服务工作，旨在补充退役军人社保不足的疾病身故、意外身故、意外医疗、疾病医疗、住院津贴、重大疾病保障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2.“仁军保”增值服务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一是支持退役军人工作开展。</w:t>
      </w:r>
      <w:r>
        <w:rPr>
          <w:rFonts w:hint="eastAsia" w:ascii="仿宋_GB2312" w:hAnsi="仿宋_GB2312" w:eastAsia="仿宋_GB2312" w:cs="仿宋_GB2312"/>
          <w:sz w:val="32"/>
          <w:szCs w:val="32"/>
        </w:rPr>
        <w:t>我公司市场份额位于佛山寿险市场第一位，下辖53个职场，将充分发挥行业、资金、技术和网点优势，以多种形式支持开展退役安置、就业创业服务、优待抚恤、双拥活动，共同促进佛山退役军人工作的深入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二是开展“三送”活动。</w:t>
      </w:r>
      <w:r>
        <w:rPr>
          <w:rFonts w:hint="eastAsia" w:ascii="仿宋_GB2312" w:hAnsi="仿宋_GB2312" w:eastAsia="仿宋_GB2312" w:cs="仿宋_GB2312"/>
          <w:sz w:val="32"/>
          <w:szCs w:val="32"/>
        </w:rPr>
        <w:t>送就业，支持有就业意愿的退役军人及军属加入中国人寿；送健康，举办社保商保讲座等，普及退役军人及军属健康权益；送温暖，联合开展拥军优属探访慰问活动；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三是开通军人绿色通道。</w:t>
      </w:r>
      <w:r>
        <w:rPr>
          <w:rFonts w:hint="eastAsia" w:ascii="仿宋_GB2312" w:hAnsi="仿宋_GB2312" w:eastAsia="仿宋_GB2312" w:cs="仿宋_GB2312"/>
          <w:sz w:val="32"/>
          <w:szCs w:val="32"/>
        </w:rPr>
        <w:t>在营业网点设立“军人军属、退役军人”专门窗口，张贴“军人军属、退役军人优先”标识，开通绿色通道，凭军人证件、优待证等有效证件提供优先服务。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发挥科技</w:t>
      </w:r>
      <w:r>
        <w:rPr>
          <w:rFonts w:hint="eastAsia" w:ascii="黑体" w:hAnsi="黑体" w:eastAsia="黑体"/>
          <w:sz w:val="32"/>
          <w:szCs w:val="32"/>
        </w:rPr>
        <w:t>支撑</w:t>
      </w:r>
      <w:r>
        <w:rPr>
          <w:rFonts w:ascii="黑体" w:hAnsi="黑体" w:eastAsia="黑体"/>
          <w:sz w:val="32"/>
          <w:szCs w:val="32"/>
        </w:rPr>
        <w:t>作用</w:t>
      </w:r>
      <w:r>
        <w:rPr>
          <w:rFonts w:hint="eastAsia" w:ascii="黑体" w:hAnsi="黑体" w:eastAsia="黑体"/>
          <w:sz w:val="32"/>
          <w:szCs w:val="32"/>
        </w:rPr>
        <w:t>，守护人民美好生活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把金融科技作为驱动转型发展的关键要素，借力移动互联发挥科技优势，不断进行服务手段创新，努力打造以客户为中心，以互联网为特征，以敏捷响应、安全可靠、行业领先为目标的综合业务处理系统和客户服务生态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（一）理赔直付缓解理赔难问题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解决群众“理赔难”问题，中国人寿在一些城市，已率先开设医院驻点服务的“直报”窗口，推进“基本医保+商业保险”直赔模式，实现医保、商保一站式便捷服务。目前，中国人寿在佛山本地与个别医院开展了“直赔服务”合作，取得一定效果，群众满意度较高，正在积极推进理赔直赔模式进一步覆盖佛山其他医院，借鉴国寿系统内其他地市先进经验，为佛山市建立数字健康保险交易平台实现理赔直付试点工作做出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（二）对接政府应用创新服务模式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数字政府改革建设2020年工作要点》（粤办函〔2020〕20号）将擦亮“粤省事”品牌、优化一体化政务服务平台列入重点项目。中国人寿佛山分公司当前积极与“数字广东公司”洽谈磋商，拟通过科技手段对接“数字广东”，入驻“粤省事”、政务服务一体机，为佛山市民提供在线保险的承保和理赔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sz w:val="32"/>
          <w:szCs w:val="32"/>
        </w:rPr>
      </w:pPr>
      <w:r>
        <w:rPr>
          <w:rFonts w:hint="eastAsia" w:ascii="楷体" w:hAnsi="楷体" w:eastAsia="楷体" w:cs="楷体"/>
          <w:b/>
          <w:bCs/>
          <w:sz w:val="32"/>
          <w:szCs w:val="32"/>
        </w:rPr>
        <w:t>（三）快捷投保服务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个人产品可通过微信端链接自费投保，次日生效。</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（四）驻点上门服务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中国人寿配备专业服务团队，提供上门服务，响应各级服务需求。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详情可直接联系中国人寿佛山分公司各片区营业网点（具体详见附表），提出个性化服务需求，佛山国寿团队将7*24小时实时响应，并提供绿色通道应急专属服务。</w:t>
      </w: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p>
    <w:p>
      <w:pPr>
        <w:spacing w:line="560" w:lineRule="atLeast"/>
        <w:rPr>
          <w:rFonts w:hint="eastAsia" w:ascii="黑体" w:hAnsi="黑体" w:eastAsia="黑体" w:cs="黑体"/>
          <w:b w:val="0"/>
          <w:bCs w:val="0"/>
          <w:sz w:val="32"/>
          <w:szCs w:val="32"/>
        </w:rPr>
      </w:pPr>
      <w:r>
        <w:rPr>
          <w:rFonts w:hint="eastAsia" w:ascii="黑体" w:hAnsi="黑体" w:eastAsia="黑体" w:cs="黑体"/>
          <w:b w:val="0"/>
          <w:bCs w:val="0"/>
          <w:sz w:val="32"/>
          <w:szCs w:val="32"/>
        </w:rPr>
        <w:t>附表：</w:t>
      </w:r>
    </w:p>
    <w:p>
      <w:pPr>
        <w:spacing w:line="560" w:lineRule="atLeas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中国人寿佛山分公司主要对接人名单</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360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个人业务主要对接人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张敏</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18029309800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卢伟荣</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15920716533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吴燕龙</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13528975285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大沥</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李炎</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13435409675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张北平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15007571430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城区</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陈月献</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18038829288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西樵</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冯知强</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13927265489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狮山</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杨勇涛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15899838975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片区</w:t>
            </w:r>
          </w:p>
        </w:tc>
        <w:tc>
          <w:tcPr>
            <w:tcW w:w="360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团体业务主要对接人</w:t>
            </w:r>
          </w:p>
        </w:tc>
        <w:tc>
          <w:tcPr>
            <w:tcW w:w="3584" w:type="dxa"/>
          </w:tcPr>
          <w:p>
            <w:pPr>
              <w:jc w:val="center"/>
              <w:rPr>
                <w:rFonts w:ascii="仿宋_GB2312" w:hAnsi="黑体" w:eastAsia="仿宋_GB2312"/>
                <w:b/>
                <w:bCs/>
                <w:kern w:val="0"/>
                <w:sz w:val="32"/>
                <w:szCs w:val="32"/>
              </w:rPr>
            </w:pPr>
            <w:r>
              <w:rPr>
                <w:rFonts w:hint="eastAsia" w:ascii="仿宋_GB2312" w:hAnsi="黑体" w:eastAsia="仿宋_GB2312"/>
                <w:b/>
                <w:bCs/>
                <w:kern w:val="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禅城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杨威威</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13702924885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南海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马涛</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13702973659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顺德</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刘程平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13902899481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三水</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杨展平</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13703069594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33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高明</w:t>
            </w:r>
          </w:p>
        </w:tc>
        <w:tc>
          <w:tcPr>
            <w:tcW w:w="360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魏波</w:t>
            </w:r>
          </w:p>
        </w:tc>
        <w:tc>
          <w:tcPr>
            <w:tcW w:w="3584" w:type="dxa"/>
          </w:tcPr>
          <w:p>
            <w:pPr>
              <w:jc w:val="center"/>
              <w:rPr>
                <w:rFonts w:ascii="仿宋_GB2312" w:hAnsi="黑体" w:eastAsia="仿宋_GB2312"/>
                <w:kern w:val="0"/>
                <w:sz w:val="32"/>
                <w:szCs w:val="32"/>
              </w:rPr>
            </w:pPr>
            <w:r>
              <w:rPr>
                <w:rFonts w:hint="eastAsia" w:ascii="仿宋_GB2312" w:hAnsi="黑体" w:eastAsia="仿宋_GB2312"/>
                <w:kern w:val="0"/>
                <w:sz w:val="32"/>
                <w:szCs w:val="32"/>
              </w:rPr>
              <w:t>13630016520</w:t>
            </w:r>
          </w:p>
        </w:tc>
      </w:tr>
    </w:tbl>
    <w:p>
      <w:pPr>
        <w:jc w:val="center"/>
        <w:rPr>
          <w:rFonts w:ascii="仿宋_GB2312" w:hAnsi="黑体" w:eastAsia="仿宋_GB2312"/>
          <w:sz w:val="32"/>
          <w:szCs w:val="32"/>
        </w:rPr>
      </w:pPr>
    </w:p>
    <w:sectPr>
      <w:footerReference r:id="rId3" w:type="default"/>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粗雅宋长_GBK">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12"/>
    <w:rsid w:val="000864C0"/>
    <w:rsid w:val="000B521D"/>
    <w:rsid w:val="001148EB"/>
    <w:rsid w:val="001A74FC"/>
    <w:rsid w:val="001F7D98"/>
    <w:rsid w:val="00241837"/>
    <w:rsid w:val="00255FBE"/>
    <w:rsid w:val="002A100E"/>
    <w:rsid w:val="003133F6"/>
    <w:rsid w:val="003973A5"/>
    <w:rsid w:val="003A000C"/>
    <w:rsid w:val="00453EC8"/>
    <w:rsid w:val="004A3EB5"/>
    <w:rsid w:val="004E6B74"/>
    <w:rsid w:val="00521BC2"/>
    <w:rsid w:val="005327A2"/>
    <w:rsid w:val="0056744C"/>
    <w:rsid w:val="0064115C"/>
    <w:rsid w:val="006F12CB"/>
    <w:rsid w:val="00704FB4"/>
    <w:rsid w:val="00715A4C"/>
    <w:rsid w:val="00723787"/>
    <w:rsid w:val="0076091B"/>
    <w:rsid w:val="00856DE6"/>
    <w:rsid w:val="00882296"/>
    <w:rsid w:val="008B1043"/>
    <w:rsid w:val="008E4DCC"/>
    <w:rsid w:val="009B5685"/>
    <w:rsid w:val="00A671D4"/>
    <w:rsid w:val="00A832A0"/>
    <w:rsid w:val="00AD361E"/>
    <w:rsid w:val="00B01265"/>
    <w:rsid w:val="00B02293"/>
    <w:rsid w:val="00B26FC7"/>
    <w:rsid w:val="00CA58B0"/>
    <w:rsid w:val="00CB3C4F"/>
    <w:rsid w:val="00DA2357"/>
    <w:rsid w:val="00DF72EB"/>
    <w:rsid w:val="00E94451"/>
    <w:rsid w:val="00EC10FB"/>
    <w:rsid w:val="00EC7A12"/>
    <w:rsid w:val="00F072B3"/>
    <w:rsid w:val="57F65DE8"/>
    <w:rsid w:val="753E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F26D4-F549-4393-A29D-56E9DCEBCB88}">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325</Words>
  <Characters>1856</Characters>
  <Lines>15</Lines>
  <Paragraphs>4</Paragraphs>
  <TotalTime>29</TotalTime>
  <ScaleCrop>false</ScaleCrop>
  <LinksUpToDate>false</LinksUpToDate>
  <CharactersWithSpaces>2177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2020-07-08T02:12:00Z</dcterms:created>
  <dc:creator>dw1029</dc:creator>
  <cp:lastModifiedBy>田奇</cp:lastModifiedBy>
  <cp:lastPrinted>2020-07-04T03:11:00Z</cp:lastPrinted>
  <dcterms:modified xsi:type="dcterms:W3CDTF">2020-07-08T03:19:56Z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