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平安产险佛山分公司</w:t>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关于支持文广旅体、餐饮企业保险服务方案</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为认真贯彻落实全国两会加大“六稳”工作力度、落实“六保”任务的部署要求，根据《佛山市人民政府办公室关于印发佛山市发展全域旅游促进投资和消费实施方案的通知》（佛府办函〔2018〕847 号）精神，加大金融对文广旅体、餐饮企业的支持力度。中国平安财产保险股份有限公司佛山分公司将充分发挥保险在风险预防、风险管理、专业服务等方面的优势，为佛山市文广旅体、餐饮企业提供保险服务方案。</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textAlignment w:val="auto"/>
        <w:outlineLvl w:val="9"/>
        <w:rPr>
          <w:rFonts w:hint="eastAsia" w:ascii="黑体" w:hAnsi="黑体" w:eastAsia="黑体" w:cs="黑体"/>
          <w:b/>
          <w:sz w:val="32"/>
          <w:szCs w:val="32"/>
        </w:rPr>
      </w:pPr>
      <w:r>
        <w:rPr>
          <w:rFonts w:hint="eastAsia" w:ascii="黑体" w:hAnsi="黑体" w:eastAsia="黑体" w:cs="黑体"/>
          <w:b/>
          <w:sz w:val="32"/>
          <w:szCs w:val="32"/>
        </w:rPr>
        <w:t>一、服务支持领域</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（一）餐饮业</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（二）住宿业</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（三）文化旅游景区</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（四）体育运动场馆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（五）短期体育赛事</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textAlignment w:val="auto"/>
        <w:outlineLvl w:val="9"/>
        <w:rPr>
          <w:rFonts w:hint="eastAsia" w:ascii="黑体" w:hAnsi="黑体" w:eastAsia="黑体" w:cs="黑体"/>
          <w:b/>
          <w:sz w:val="32"/>
          <w:szCs w:val="32"/>
        </w:rPr>
      </w:pPr>
      <w:r>
        <w:rPr>
          <w:rFonts w:hint="eastAsia" w:ascii="黑体" w:hAnsi="黑体" w:eastAsia="黑体" w:cs="黑体"/>
          <w:b/>
          <w:sz w:val="32"/>
          <w:szCs w:val="32"/>
        </w:rPr>
        <w:t>二、主要保险服务方案</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outlineLvl w:val="9"/>
        <w:rPr>
          <w:rFonts w:hint="eastAsia" w:ascii="楷体" w:hAnsi="楷体" w:eastAsia="楷体" w:cs="楷体"/>
          <w:b/>
          <w:sz w:val="32"/>
          <w:szCs w:val="32"/>
        </w:rPr>
      </w:pPr>
      <w:r>
        <w:rPr>
          <w:rFonts w:hint="eastAsia" w:ascii="楷体" w:hAnsi="楷体" w:eastAsia="楷体" w:cs="楷体"/>
          <w:b/>
          <w:sz w:val="32"/>
          <w:szCs w:val="32"/>
        </w:rPr>
        <w:t>（一）餐饮业、住宿业、体育场馆服务方案</w:t>
      </w:r>
    </w:p>
    <w:p>
      <w:pPr>
        <w:keepNext w:val="0"/>
        <w:keepLines w:val="0"/>
        <w:pageBreakBefore w:val="0"/>
        <w:widowControl/>
        <w:kinsoku/>
        <w:wordWrap/>
        <w:overflowPunct/>
        <w:topLinePunct w:val="0"/>
        <w:autoSpaceDE/>
        <w:autoSpaceDN/>
        <w:bidi w:val="0"/>
        <w:adjustRightInd w:val="0"/>
        <w:snapToGrid w:val="0"/>
        <w:spacing w:after="156" w:afterLines="50"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1、企业财产损失保障：覆盖企业由于自然灾害、火灾爆炸等意外事故导致自身财产损失。</w:t>
      </w:r>
    </w:p>
    <w:p>
      <w:pPr>
        <w:keepNext w:val="0"/>
        <w:keepLines w:val="0"/>
        <w:pageBreakBefore w:val="0"/>
        <w:widowControl/>
        <w:kinsoku/>
        <w:wordWrap/>
        <w:overflowPunct/>
        <w:topLinePunct w:val="0"/>
        <w:autoSpaceDE/>
        <w:autoSpaceDN/>
        <w:bidi w:val="0"/>
        <w:adjustRightInd w:val="0"/>
        <w:snapToGrid w:val="0"/>
        <w:spacing w:after="156" w:afterLines="50"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2、从业人员保障：覆盖从业人员在日常工作过程中发生意外事故导致的人身伤亡。</w:t>
      </w:r>
    </w:p>
    <w:p>
      <w:pPr>
        <w:keepNext w:val="0"/>
        <w:keepLines w:val="0"/>
        <w:pageBreakBefore w:val="0"/>
        <w:widowControl/>
        <w:kinsoku/>
        <w:wordWrap/>
        <w:overflowPunct/>
        <w:topLinePunct w:val="0"/>
        <w:autoSpaceDE/>
        <w:autoSpaceDN/>
        <w:bidi w:val="0"/>
        <w:adjustRightInd w:val="0"/>
        <w:snapToGrid w:val="0"/>
        <w:spacing w:after="156" w:afterLines="50"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3、三者责任保障:覆盖企业在日常经营活动中发生意外事故导致第三者人身伤亡或者财产损失，例如火灾爆炸、建筑物倒塌、食物中毒等。</w:t>
      </w:r>
    </w:p>
    <w:p>
      <w:pPr>
        <w:keepNext w:val="0"/>
        <w:keepLines w:val="0"/>
        <w:pageBreakBefore w:val="0"/>
        <w:widowControl/>
        <w:kinsoku/>
        <w:wordWrap/>
        <w:overflowPunct/>
        <w:topLinePunct w:val="0"/>
        <w:autoSpaceDE/>
        <w:autoSpaceDN/>
        <w:bidi w:val="0"/>
        <w:adjustRightInd w:val="0"/>
        <w:snapToGrid w:val="0"/>
        <w:spacing w:before="156" w:beforeLines="50" w:after="120" w:line="560" w:lineRule="exact"/>
        <w:ind w:firstLine="643" w:firstLineChars="200"/>
        <w:textAlignment w:val="auto"/>
        <w:outlineLvl w:val="9"/>
        <w:rPr>
          <w:rFonts w:hint="eastAsia" w:ascii="楷体" w:hAnsi="楷体" w:eastAsia="楷体" w:cs="楷体"/>
          <w:b/>
          <w:sz w:val="32"/>
          <w:szCs w:val="32"/>
        </w:rPr>
      </w:pPr>
      <w:r>
        <w:rPr>
          <w:rFonts w:hint="eastAsia" w:ascii="楷体" w:hAnsi="楷体" w:eastAsia="楷体" w:cs="楷体"/>
          <w:b/>
          <w:sz w:val="32"/>
          <w:szCs w:val="32"/>
        </w:rPr>
        <w:t>（二）文化旅游景区服务方案</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1、公共安全保障：覆盖景区日常经营过程中，由于管理不到位或者管理过失导致游客的人身伤亡或者财产损失。</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2、机动游戏特种设备责任保障：覆盖景区内机动游戏特种设备在运行过程中发生意外事故导致游客的人身伤亡。</w:t>
      </w:r>
    </w:p>
    <w:p>
      <w:pPr>
        <w:keepNext w:val="0"/>
        <w:keepLines w:val="0"/>
        <w:pageBreakBefore w:val="0"/>
        <w:widowControl/>
        <w:kinsoku/>
        <w:wordWrap/>
        <w:overflowPunct/>
        <w:topLinePunct w:val="0"/>
        <w:autoSpaceDE/>
        <w:autoSpaceDN/>
        <w:bidi w:val="0"/>
        <w:adjustRightInd w:val="0"/>
        <w:snapToGrid w:val="0"/>
        <w:spacing w:before="156" w:beforeLines="50" w:after="156" w:afterLines="50" w:line="560" w:lineRule="exact"/>
        <w:ind w:firstLine="643" w:firstLineChars="200"/>
        <w:textAlignment w:val="auto"/>
        <w:outlineLvl w:val="9"/>
        <w:rPr>
          <w:rFonts w:hint="eastAsia" w:ascii="楷体" w:hAnsi="楷体" w:eastAsia="楷体" w:cs="楷体"/>
          <w:b/>
          <w:sz w:val="32"/>
          <w:szCs w:val="32"/>
        </w:rPr>
      </w:pPr>
      <w:r>
        <w:rPr>
          <w:rFonts w:hint="eastAsia" w:ascii="楷体" w:hAnsi="楷体" w:eastAsia="楷体" w:cs="楷体"/>
          <w:b/>
          <w:sz w:val="32"/>
          <w:szCs w:val="32"/>
        </w:rPr>
        <w:t>（三）短期体育赛事服务方案</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1、保障对象：</w:t>
      </w:r>
      <w:r>
        <w:rPr>
          <w:rFonts w:hint="eastAsia" w:ascii="仿宋_GB2312" w:hAnsi="仿宋_GB2312" w:eastAsia="仿宋_GB2312" w:cs="仿宋_GB2312"/>
          <w:sz w:val="32"/>
          <w:szCs w:val="32"/>
        </w:rPr>
        <w:t>活动工作人员、观众、参与活动的普通人员，3-5元/人，可制定个性化方案。</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2、保障内容</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1、组织者在举办体育赛事活动过程中发生意外事故，导致观众、工作人员以及参与活动的普通人员的人身伤亡。</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2、组织者为观众、工作人员、参与活动的普通人员提供活动现场往返接送服务过程中发生意外事故，导致其人身伤亡。</w:t>
      </w:r>
    </w:p>
    <w:p>
      <w:pPr>
        <w:keepNext w:val="0"/>
        <w:keepLines w:val="0"/>
        <w:pageBreakBefore w:val="0"/>
        <w:widowControl/>
        <w:kinsoku/>
        <w:wordWrap/>
        <w:overflowPunct/>
        <w:topLinePunct w:val="0"/>
        <w:autoSpaceDE/>
        <w:autoSpaceDN/>
        <w:bidi w:val="0"/>
        <w:adjustRightInd w:val="0"/>
        <w:snapToGrid w:val="0"/>
        <w:spacing w:before="156" w:beforeLines="50" w:after="156" w:afterLines="50" w:line="560" w:lineRule="exact"/>
        <w:ind w:firstLine="643" w:firstLineChars="200"/>
        <w:textAlignment w:val="auto"/>
        <w:outlineLvl w:val="9"/>
        <w:rPr>
          <w:rFonts w:hint="eastAsia" w:ascii="黑体" w:hAnsi="黑体" w:eastAsia="黑体" w:cs="黑体"/>
          <w:b/>
          <w:sz w:val="32"/>
          <w:szCs w:val="32"/>
        </w:rPr>
      </w:pPr>
      <w:r>
        <w:rPr>
          <w:rFonts w:hint="eastAsia" w:ascii="黑体" w:hAnsi="黑体" w:eastAsia="黑体" w:cs="黑体"/>
          <w:b/>
          <w:sz w:val="32"/>
          <w:szCs w:val="32"/>
        </w:rPr>
        <w:t>三、专属服务支持</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outlineLvl w:val="9"/>
        <w:rPr>
          <w:rFonts w:hint="eastAsia" w:ascii="楷体" w:hAnsi="楷体" w:eastAsia="楷体" w:cs="楷体"/>
          <w:b/>
          <w:sz w:val="32"/>
          <w:szCs w:val="32"/>
        </w:rPr>
      </w:pPr>
      <w:r>
        <w:rPr>
          <w:rFonts w:hint="eastAsia" w:ascii="楷体" w:hAnsi="楷体" w:eastAsia="楷体" w:cs="楷体"/>
          <w:b/>
          <w:sz w:val="32"/>
          <w:szCs w:val="32"/>
        </w:rPr>
        <w:t>（一）专人理赔，个案负责制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每个赔案都有专门理赔人负责，立案后立即告知企业。在整个处理过程中企业可随时与“项目理赔专员”联系，包括不限于报案、查询理赔进展或询问案情、理赔咨询等，全程一对一服务，也可以使用平安7天*24小时专用接报案电话95511。</w:t>
      </w:r>
    </w:p>
    <w:p>
      <w:pPr>
        <w:keepNext w:val="0"/>
        <w:keepLines w:val="0"/>
        <w:pageBreakBefore w:val="0"/>
        <w:widowControl/>
        <w:kinsoku/>
        <w:wordWrap/>
        <w:overflowPunct/>
        <w:topLinePunct w:val="0"/>
        <w:autoSpaceDE/>
        <w:autoSpaceDN/>
        <w:bidi w:val="0"/>
        <w:adjustRightInd w:val="0"/>
        <w:snapToGrid w:val="0"/>
        <w:spacing w:before="156" w:beforeLines="50" w:after="0" w:line="560" w:lineRule="exact"/>
        <w:ind w:firstLine="643" w:firstLineChars="200"/>
        <w:textAlignment w:val="auto"/>
        <w:outlineLvl w:val="9"/>
        <w:rPr>
          <w:rFonts w:hint="eastAsia" w:ascii="楷体" w:hAnsi="楷体" w:eastAsia="楷体" w:cs="楷体"/>
          <w:b/>
          <w:sz w:val="32"/>
          <w:szCs w:val="32"/>
        </w:rPr>
      </w:pPr>
      <w:r>
        <w:rPr>
          <w:rFonts w:hint="eastAsia" w:ascii="楷体" w:hAnsi="楷体" w:eastAsia="楷体" w:cs="楷体"/>
          <w:b/>
          <w:sz w:val="32"/>
          <w:szCs w:val="32"/>
        </w:rPr>
        <w:t>（二）简化流程、开通绿色通道</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outlineLvl w:val="9"/>
        <w:rPr>
          <w:rFonts w:hint="eastAsia" w:ascii="仿宋_GB2312" w:hAnsi="仿宋_GB2312" w:eastAsia="仿宋_GB2312" w:cs="仿宋_GB2312"/>
          <w:color w:val="1A1A1A"/>
          <w:sz w:val="32"/>
          <w:szCs w:val="32"/>
        </w:rPr>
      </w:pPr>
      <w:r>
        <w:rPr>
          <w:rFonts w:hint="eastAsia" w:ascii="仿宋_GB2312" w:hAnsi="仿宋_GB2312" w:eastAsia="仿宋_GB2312" w:cs="仿宋_GB2312"/>
          <w:sz w:val="32"/>
          <w:szCs w:val="32"/>
        </w:rPr>
        <w:t>我司将针对重点项目投保人开通承保、理赔VIP通道，</w:t>
      </w:r>
      <w:r>
        <w:rPr>
          <w:rFonts w:hint="eastAsia" w:ascii="仿宋_GB2312" w:hAnsi="仿宋_GB2312" w:eastAsia="仿宋_GB2312" w:cs="仿宋_GB2312"/>
          <w:color w:val="1A1A1A"/>
          <w:sz w:val="32"/>
          <w:szCs w:val="32"/>
        </w:rPr>
        <w:t>专门对承保的要求和注意事项进行针对性讲解和专人跟进服务。在保险期间出现赔案的客户，我司将实施理赔VIP绿色通道服务，从人力、技术支援、资金安排、理赔服务上保证赔案的处理时效性，并指派专人为项目服务专员。</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color w:val="000000"/>
          <w:sz w:val="32"/>
          <w:szCs w:val="32"/>
        </w:rPr>
        <w:t>对于重大责任事故等损失较大的案件，为减少发生的重大事故对被保险人的影响，及时帮助被保险人解决如医疗费或维修费垫付等资金问题，在满足预赔条件的情况下，我司将主动预付赔款，收到有关单证和资料后3--5个工作日内按初步估损金额的50%先行预付赔款。</w:t>
      </w:r>
    </w:p>
    <w:p>
      <w:pPr>
        <w:keepNext w:val="0"/>
        <w:keepLines w:val="0"/>
        <w:pageBreakBefore w:val="0"/>
        <w:widowControl/>
        <w:kinsoku/>
        <w:wordWrap/>
        <w:overflowPunct/>
        <w:topLinePunct w:val="0"/>
        <w:autoSpaceDE/>
        <w:autoSpaceDN/>
        <w:bidi w:val="0"/>
        <w:adjustRightInd w:val="0"/>
        <w:snapToGrid w:val="0"/>
        <w:spacing w:before="156" w:beforeLines="50" w:after="0" w:line="560" w:lineRule="exact"/>
        <w:ind w:firstLine="643" w:firstLineChars="200"/>
        <w:textAlignment w:val="auto"/>
        <w:outlineLvl w:val="9"/>
        <w:rPr>
          <w:rFonts w:hint="eastAsia" w:ascii="楷体" w:hAnsi="楷体" w:eastAsia="楷体" w:cs="楷体"/>
          <w:b/>
          <w:sz w:val="32"/>
          <w:szCs w:val="32"/>
        </w:rPr>
      </w:pPr>
      <w:r>
        <w:rPr>
          <w:rFonts w:hint="eastAsia" w:ascii="楷体" w:hAnsi="楷体" w:eastAsia="楷体" w:cs="楷体"/>
          <w:b/>
          <w:sz w:val="32"/>
          <w:szCs w:val="32"/>
        </w:rPr>
        <w:t>（三）“平安企业宝”一站式服务</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平安企业宝”涵盖“我的保单”、“理赔中心”、“风控中心”三大功能，客户可投保、查看历史保单、续保，自主完成极速报案、自主理赔、赔案查询、理赔咨询等理赔服务，客户更可依据客标的所在地信息，进行灾害预警个性化定制，进入小程序后用保单号及验真码即可完成绑定。</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textAlignment w:val="auto"/>
        <w:outlineLvl w:val="9"/>
        <w:rPr>
          <w:rFonts w:hint="eastAsia" w:ascii="楷体" w:hAnsi="楷体" w:eastAsia="楷体" w:cs="楷体"/>
          <w:b/>
          <w:sz w:val="32"/>
          <w:szCs w:val="32"/>
        </w:rPr>
      </w:pPr>
      <w:r>
        <w:rPr>
          <w:rFonts w:hint="eastAsia" w:ascii="楷体" w:hAnsi="楷体" w:eastAsia="楷体" w:cs="楷体"/>
          <w:b/>
          <w:sz w:val="32"/>
          <w:szCs w:val="32"/>
        </w:rPr>
        <w:t>（四）免费灾害预警服务</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平安拥有业界领先的DRS风险地图系统，基于亿级历史灾害数据，可对全国任意地理位置的九大自然灾害（台风、暴雨、洪水、地震、滑坡与泥石流、风暴潮、雪灾、冰雹和雷击）进行定量化的风险评估与灾害预警，以帮助企业做好防灾防损。</w:t>
      </w:r>
    </w:p>
    <w:p>
      <w:pPr>
        <w:keepNext w:val="0"/>
        <w:keepLines w:val="0"/>
        <w:pageBreakBefore w:val="0"/>
        <w:widowControl/>
        <w:kinsoku/>
        <w:wordWrap/>
        <w:overflowPunct/>
        <w:topLinePunct w:val="0"/>
        <w:autoSpaceDE/>
        <w:autoSpaceDN/>
        <w:bidi w:val="0"/>
        <w:adjustRightInd w:val="0"/>
        <w:snapToGrid w:val="0"/>
        <w:spacing w:line="560" w:lineRule="exact"/>
        <w:textAlignment w:val="auto"/>
        <w:outlineLvl w:val="9"/>
        <w:rPr>
          <w:rFonts w:hint="eastAsia" w:ascii="仿宋_GB2312" w:hAnsi="仿宋_GB2312" w:eastAsia="仿宋_GB2312" w:cs="仿宋_GB2312"/>
          <w:sz w:val="32"/>
          <w:szCs w:val="32"/>
        </w:rPr>
      </w:pPr>
    </w:p>
    <w:p>
      <w:pPr>
        <w:ind w:firstLine="1120" w:firstLineChars="400"/>
        <w:rPr>
          <w:rFonts w:hint="eastAsia" w:ascii="黑体" w:hAnsi="黑体" w:eastAsia="黑体" w:cs="黑体"/>
          <w:sz w:val="28"/>
          <w:szCs w:val="28"/>
        </w:rPr>
      </w:pPr>
      <w:r>
        <w:rPr>
          <w:rFonts w:hint="eastAsia" w:ascii="黑体" w:hAnsi="黑体" w:eastAsia="黑体" w:cs="黑体"/>
          <w:sz w:val="28"/>
          <w:szCs w:val="28"/>
        </w:rPr>
        <w:t>附件：</w:t>
      </w: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佛山平安产险主要对接人名单</w:t>
      </w:r>
    </w:p>
    <w:tbl>
      <w:tblPr>
        <w:tblStyle w:val="5"/>
        <w:tblW w:w="6538" w:type="dxa"/>
        <w:jc w:val="center"/>
        <w:tblInd w:w="0" w:type="dxa"/>
        <w:tblLayout w:type="fixed"/>
        <w:tblCellMar>
          <w:top w:w="0" w:type="dxa"/>
          <w:left w:w="108" w:type="dxa"/>
          <w:bottom w:w="0" w:type="dxa"/>
          <w:right w:w="108" w:type="dxa"/>
        </w:tblCellMar>
      </w:tblPr>
      <w:tblGrid>
        <w:gridCol w:w="1820"/>
        <w:gridCol w:w="1855"/>
        <w:gridCol w:w="2863"/>
      </w:tblGrid>
      <w:tr>
        <w:tblPrEx>
          <w:tblLayout w:type="fixed"/>
          <w:tblCellMar>
            <w:top w:w="0" w:type="dxa"/>
            <w:left w:w="108" w:type="dxa"/>
            <w:bottom w:w="0" w:type="dxa"/>
            <w:right w:w="108" w:type="dxa"/>
          </w:tblCellMar>
        </w:tblPrEx>
        <w:trPr>
          <w:trHeight w:val="334" w:hRule="atLeast"/>
          <w:jc w:val="center"/>
        </w:trPr>
        <w:tc>
          <w:tcPr>
            <w:tcW w:w="18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color w:val="000000"/>
                <w:sz w:val="28"/>
                <w:szCs w:val="28"/>
              </w:rPr>
            </w:pPr>
            <w:r>
              <w:rPr>
                <w:rFonts w:hint="eastAsia" w:ascii="宋体" w:hAnsi="宋体" w:eastAsia="宋体" w:cs="宋体"/>
                <w:b/>
                <w:bCs/>
                <w:color w:val="000000"/>
                <w:sz w:val="28"/>
                <w:szCs w:val="28"/>
              </w:rPr>
              <w:t>区域</w:t>
            </w:r>
          </w:p>
        </w:tc>
        <w:tc>
          <w:tcPr>
            <w:tcW w:w="1855"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color w:val="000000"/>
                <w:sz w:val="28"/>
                <w:szCs w:val="28"/>
              </w:rPr>
            </w:pPr>
            <w:r>
              <w:rPr>
                <w:rFonts w:hint="eastAsia" w:ascii="宋体" w:hAnsi="宋体" w:eastAsia="宋体" w:cs="宋体"/>
                <w:b/>
                <w:bCs/>
                <w:color w:val="000000"/>
                <w:sz w:val="28"/>
                <w:szCs w:val="28"/>
              </w:rPr>
              <w:t>联系人</w:t>
            </w:r>
          </w:p>
        </w:tc>
        <w:tc>
          <w:tcPr>
            <w:tcW w:w="2863"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color w:val="000000"/>
                <w:sz w:val="28"/>
                <w:szCs w:val="28"/>
              </w:rPr>
            </w:pPr>
            <w:r>
              <w:rPr>
                <w:rFonts w:hint="eastAsia" w:ascii="宋体" w:hAnsi="宋体" w:eastAsia="宋体" w:cs="宋体"/>
                <w:b/>
                <w:bCs/>
                <w:color w:val="000000"/>
                <w:sz w:val="28"/>
                <w:szCs w:val="28"/>
              </w:rPr>
              <w:t>电话</w:t>
            </w:r>
          </w:p>
        </w:tc>
      </w:tr>
      <w:tr>
        <w:tblPrEx>
          <w:tblLayout w:type="fixed"/>
          <w:tblCellMar>
            <w:top w:w="0" w:type="dxa"/>
            <w:left w:w="108" w:type="dxa"/>
            <w:bottom w:w="0" w:type="dxa"/>
            <w:right w:w="108" w:type="dxa"/>
          </w:tblCellMar>
        </w:tblPrEx>
        <w:trPr>
          <w:trHeight w:val="334" w:hRule="atLeast"/>
          <w:jc w:val="center"/>
        </w:trPr>
        <w:tc>
          <w:tcPr>
            <w:tcW w:w="182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8"/>
                <w:szCs w:val="28"/>
              </w:rPr>
            </w:pPr>
            <w:r>
              <w:rPr>
                <w:rFonts w:hint="eastAsia" w:ascii="宋体" w:hAnsi="宋体" w:eastAsia="宋体" w:cs="宋体"/>
                <w:color w:val="000000"/>
                <w:sz w:val="28"/>
                <w:szCs w:val="28"/>
              </w:rPr>
              <w:t>顺德</w:t>
            </w:r>
          </w:p>
        </w:tc>
        <w:tc>
          <w:tcPr>
            <w:tcW w:w="185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8"/>
                <w:szCs w:val="28"/>
              </w:rPr>
            </w:pPr>
            <w:r>
              <w:rPr>
                <w:rFonts w:hint="eastAsia" w:ascii="宋体" w:hAnsi="宋体" w:eastAsia="宋体" w:cs="宋体"/>
                <w:color w:val="000000"/>
                <w:sz w:val="28"/>
                <w:szCs w:val="28"/>
              </w:rPr>
              <w:t>欧阳永烨</w:t>
            </w:r>
          </w:p>
        </w:tc>
        <w:tc>
          <w:tcPr>
            <w:tcW w:w="2863"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8"/>
                <w:szCs w:val="28"/>
              </w:rPr>
            </w:pPr>
            <w:r>
              <w:rPr>
                <w:rFonts w:hint="eastAsia" w:ascii="宋体" w:hAnsi="宋体" w:eastAsia="宋体" w:cs="宋体"/>
                <w:color w:val="000000"/>
                <w:sz w:val="28"/>
                <w:szCs w:val="28"/>
              </w:rPr>
              <w:t>18813295950</w:t>
            </w:r>
          </w:p>
        </w:tc>
      </w:tr>
      <w:tr>
        <w:tblPrEx>
          <w:tblLayout w:type="fixed"/>
          <w:tblCellMar>
            <w:top w:w="0" w:type="dxa"/>
            <w:left w:w="108" w:type="dxa"/>
            <w:bottom w:w="0" w:type="dxa"/>
            <w:right w:w="108" w:type="dxa"/>
          </w:tblCellMar>
        </w:tblPrEx>
        <w:trPr>
          <w:trHeight w:val="334" w:hRule="atLeast"/>
          <w:jc w:val="center"/>
        </w:trPr>
        <w:tc>
          <w:tcPr>
            <w:tcW w:w="182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8"/>
                <w:szCs w:val="28"/>
              </w:rPr>
            </w:pPr>
            <w:r>
              <w:rPr>
                <w:rFonts w:hint="eastAsia" w:ascii="宋体" w:hAnsi="宋体" w:eastAsia="宋体" w:cs="宋体"/>
                <w:color w:val="000000"/>
                <w:sz w:val="28"/>
                <w:szCs w:val="28"/>
              </w:rPr>
              <w:t>南海</w:t>
            </w:r>
          </w:p>
        </w:tc>
        <w:tc>
          <w:tcPr>
            <w:tcW w:w="185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8"/>
                <w:szCs w:val="28"/>
              </w:rPr>
            </w:pPr>
            <w:r>
              <w:rPr>
                <w:rFonts w:hint="eastAsia" w:ascii="宋体" w:hAnsi="宋体" w:eastAsia="宋体" w:cs="宋体"/>
                <w:color w:val="000000"/>
                <w:sz w:val="28"/>
                <w:szCs w:val="28"/>
              </w:rPr>
              <w:t>周凯锐</w:t>
            </w:r>
          </w:p>
        </w:tc>
        <w:tc>
          <w:tcPr>
            <w:tcW w:w="2863"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8"/>
                <w:szCs w:val="28"/>
              </w:rPr>
            </w:pPr>
            <w:r>
              <w:rPr>
                <w:rFonts w:hint="eastAsia" w:ascii="宋体" w:hAnsi="宋体" w:eastAsia="宋体" w:cs="宋体"/>
                <w:color w:val="000000"/>
                <w:sz w:val="28"/>
                <w:szCs w:val="28"/>
              </w:rPr>
              <w:t>13726259971</w:t>
            </w:r>
          </w:p>
        </w:tc>
      </w:tr>
      <w:tr>
        <w:tblPrEx>
          <w:tblLayout w:type="fixed"/>
          <w:tblCellMar>
            <w:top w:w="0" w:type="dxa"/>
            <w:left w:w="108" w:type="dxa"/>
            <w:bottom w:w="0" w:type="dxa"/>
            <w:right w:w="108" w:type="dxa"/>
          </w:tblCellMar>
        </w:tblPrEx>
        <w:trPr>
          <w:trHeight w:val="334" w:hRule="atLeast"/>
          <w:jc w:val="center"/>
        </w:trPr>
        <w:tc>
          <w:tcPr>
            <w:tcW w:w="182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8"/>
                <w:szCs w:val="28"/>
              </w:rPr>
            </w:pPr>
            <w:r>
              <w:rPr>
                <w:rFonts w:hint="eastAsia" w:ascii="宋体" w:hAnsi="宋体" w:eastAsia="宋体" w:cs="宋体"/>
                <w:color w:val="000000"/>
                <w:sz w:val="28"/>
                <w:szCs w:val="28"/>
              </w:rPr>
              <w:t>禅城</w:t>
            </w:r>
          </w:p>
        </w:tc>
        <w:tc>
          <w:tcPr>
            <w:tcW w:w="185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8"/>
                <w:szCs w:val="28"/>
              </w:rPr>
            </w:pPr>
            <w:r>
              <w:rPr>
                <w:rFonts w:hint="eastAsia" w:ascii="宋体" w:hAnsi="宋体" w:eastAsia="宋体" w:cs="宋体"/>
                <w:color w:val="000000"/>
                <w:sz w:val="28"/>
                <w:szCs w:val="28"/>
              </w:rPr>
              <w:t>程亮延</w:t>
            </w:r>
          </w:p>
        </w:tc>
        <w:tc>
          <w:tcPr>
            <w:tcW w:w="2863"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8"/>
                <w:szCs w:val="28"/>
              </w:rPr>
            </w:pPr>
            <w:r>
              <w:rPr>
                <w:rFonts w:hint="eastAsia" w:ascii="宋体" w:hAnsi="宋体" w:eastAsia="宋体" w:cs="宋体"/>
                <w:color w:val="000000"/>
                <w:sz w:val="28"/>
                <w:szCs w:val="28"/>
              </w:rPr>
              <w:t>13679784623</w:t>
            </w:r>
          </w:p>
        </w:tc>
      </w:tr>
      <w:tr>
        <w:tblPrEx>
          <w:tblLayout w:type="fixed"/>
          <w:tblCellMar>
            <w:top w:w="0" w:type="dxa"/>
            <w:left w:w="108" w:type="dxa"/>
            <w:bottom w:w="0" w:type="dxa"/>
            <w:right w:w="108" w:type="dxa"/>
          </w:tblCellMar>
        </w:tblPrEx>
        <w:trPr>
          <w:trHeight w:val="334" w:hRule="atLeast"/>
          <w:jc w:val="center"/>
        </w:trPr>
        <w:tc>
          <w:tcPr>
            <w:tcW w:w="182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8"/>
                <w:szCs w:val="28"/>
              </w:rPr>
            </w:pPr>
            <w:r>
              <w:rPr>
                <w:rFonts w:hint="eastAsia" w:ascii="宋体" w:hAnsi="宋体" w:eastAsia="宋体" w:cs="宋体"/>
                <w:color w:val="000000"/>
                <w:sz w:val="28"/>
                <w:szCs w:val="28"/>
              </w:rPr>
              <w:t>高明</w:t>
            </w:r>
          </w:p>
        </w:tc>
        <w:tc>
          <w:tcPr>
            <w:tcW w:w="185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8"/>
                <w:szCs w:val="28"/>
              </w:rPr>
            </w:pPr>
            <w:r>
              <w:rPr>
                <w:rFonts w:hint="eastAsia" w:ascii="宋体" w:hAnsi="宋体" w:eastAsia="宋体" w:cs="宋体"/>
                <w:color w:val="000000"/>
                <w:sz w:val="28"/>
                <w:szCs w:val="28"/>
              </w:rPr>
              <w:t>杨建荣</w:t>
            </w:r>
          </w:p>
        </w:tc>
        <w:tc>
          <w:tcPr>
            <w:tcW w:w="2863"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8"/>
                <w:szCs w:val="28"/>
              </w:rPr>
            </w:pPr>
            <w:r>
              <w:rPr>
                <w:rFonts w:hint="eastAsia" w:ascii="宋体" w:hAnsi="宋体" w:eastAsia="宋体" w:cs="宋体"/>
                <w:color w:val="000000"/>
                <w:sz w:val="28"/>
                <w:szCs w:val="28"/>
              </w:rPr>
              <w:t>13380211089</w:t>
            </w:r>
          </w:p>
        </w:tc>
      </w:tr>
      <w:tr>
        <w:tblPrEx>
          <w:tblLayout w:type="fixed"/>
          <w:tblCellMar>
            <w:top w:w="0" w:type="dxa"/>
            <w:left w:w="108" w:type="dxa"/>
            <w:bottom w:w="0" w:type="dxa"/>
            <w:right w:w="108" w:type="dxa"/>
          </w:tblCellMar>
        </w:tblPrEx>
        <w:trPr>
          <w:trHeight w:val="334" w:hRule="atLeast"/>
          <w:jc w:val="center"/>
        </w:trPr>
        <w:tc>
          <w:tcPr>
            <w:tcW w:w="1820" w:type="dxa"/>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8"/>
                <w:szCs w:val="28"/>
              </w:rPr>
            </w:pPr>
            <w:r>
              <w:rPr>
                <w:rFonts w:hint="eastAsia" w:ascii="宋体" w:hAnsi="宋体" w:eastAsia="宋体" w:cs="宋体"/>
                <w:color w:val="000000"/>
                <w:sz w:val="28"/>
                <w:szCs w:val="28"/>
              </w:rPr>
              <w:t>三水</w:t>
            </w:r>
          </w:p>
        </w:tc>
        <w:tc>
          <w:tcPr>
            <w:tcW w:w="1855"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8"/>
                <w:szCs w:val="28"/>
              </w:rPr>
            </w:pPr>
            <w:r>
              <w:rPr>
                <w:rFonts w:hint="eastAsia" w:ascii="宋体" w:hAnsi="宋体" w:eastAsia="宋体" w:cs="宋体"/>
                <w:color w:val="000000"/>
                <w:sz w:val="28"/>
                <w:szCs w:val="28"/>
              </w:rPr>
              <w:t>梁俭斌</w:t>
            </w:r>
          </w:p>
        </w:tc>
        <w:tc>
          <w:tcPr>
            <w:tcW w:w="2863"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8"/>
                <w:szCs w:val="28"/>
              </w:rPr>
            </w:pPr>
            <w:r>
              <w:rPr>
                <w:rFonts w:hint="eastAsia" w:ascii="宋体" w:hAnsi="宋体" w:eastAsia="宋体" w:cs="宋体"/>
                <w:color w:val="000000"/>
                <w:sz w:val="28"/>
                <w:szCs w:val="28"/>
              </w:rPr>
              <w:t>15521026440</w:t>
            </w:r>
          </w:p>
        </w:tc>
      </w:tr>
    </w:tbl>
    <w:p>
      <w:pPr>
        <w:rPr>
          <w:rFonts w:ascii="宋体" w:hAnsi="宋体" w:eastAsia="宋体"/>
        </w:rPr>
      </w:pPr>
    </w:p>
    <w:sectPr>
      <w:pgSz w:w="11906" w:h="16838"/>
      <w:pgMar w:top="2098" w:right="1474" w:bottom="198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A5"/>
    <w:rsid w:val="000A397E"/>
    <w:rsid w:val="000F4C3E"/>
    <w:rsid w:val="00117332"/>
    <w:rsid w:val="001E2CB2"/>
    <w:rsid w:val="001E6024"/>
    <w:rsid w:val="00200797"/>
    <w:rsid w:val="002333E9"/>
    <w:rsid w:val="002835D3"/>
    <w:rsid w:val="002D38AB"/>
    <w:rsid w:val="003F1992"/>
    <w:rsid w:val="004254D0"/>
    <w:rsid w:val="0045767F"/>
    <w:rsid w:val="004C0DD7"/>
    <w:rsid w:val="0051317D"/>
    <w:rsid w:val="00622E2C"/>
    <w:rsid w:val="00627E3D"/>
    <w:rsid w:val="0064170A"/>
    <w:rsid w:val="007B43AC"/>
    <w:rsid w:val="008521B0"/>
    <w:rsid w:val="008A19A5"/>
    <w:rsid w:val="00901EE6"/>
    <w:rsid w:val="009325A4"/>
    <w:rsid w:val="00A65A34"/>
    <w:rsid w:val="00AD4232"/>
    <w:rsid w:val="00AE774A"/>
    <w:rsid w:val="00B70DDB"/>
    <w:rsid w:val="00BD17F7"/>
    <w:rsid w:val="00BF4043"/>
    <w:rsid w:val="00C13CFE"/>
    <w:rsid w:val="00C4378B"/>
    <w:rsid w:val="00D07CA8"/>
    <w:rsid w:val="00D805CF"/>
    <w:rsid w:val="00DC3AB3"/>
    <w:rsid w:val="00EE79AD"/>
    <w:rsid w:val="00F33316"/>
    <w:rsid w:val="00F65388"/>
    <w:rsid w:val="00F7522E"/>
    <w:rsid w:val="00F861D0"/>
    <w:rsid w:val="3A7A5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kern w:val="0"/>
      <w:sz w:val="22"/>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字符"/>
    <w:basedOn w:val="4"/>
    <w:link w:val="3"/>
    <w:uiPriority w:val="99"/>
    <w:rPr>
      <w:rFonts w:ascii="Tahoma" w:hAnsi="Tahoma" w:eastAsia="微软雅黑"/>
      <w:kern w:val="0"/>
      <w:sz w:val="18"/>
      <w:szCs w:val="18"/>
    </w:rPr>
  </w:style>
  <w:style w:type="character" w:customStyle="1" w:styleId="7">
    <w:name w:val="页脚 字符"/>
    <w:basedOn w:val="4"/>
    <w:link w:val="2"/>
    <w:uiPriority w:val="99"/>
    <w:rPr>
      <w:rFonts w:ascii="Tahoma" w:hAnsi="Tahoma" w:eastAsia="微软雅黑"/>
      <w:kern w:val="0"/>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227</Words>
  <Characters>1297</Characters>
  <Lines>10</Lines>
  <Paragraphs>3</Paragraphs>
  <TotalTime>30</TotalTime>
  <ScaleCrop>false</ScaleCrop>
  <LinksUpToDate>false</LinksUpToDate>
  <CharactersWithSpaces>1521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2020-07-01T08:00:00Z</dcterms:created>
  <dc:creator>Windows 用户</dc:creator>
  <cp:lastModifiedBy>田奇</cp:lastModifiedBy>
  <dcterms:modified xsi:type="dcterms:W3CDTF">2020-07-02T06:32:03Z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