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  <w:lang w:val="en-US" w:eastAsia="zh-CN"/>
        </w:rPr>
        <w:t>农行佛山分行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  <w:t>支持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  <w:lang w:eastAsia="zh-CN"/>
        </w:rPr>
        <w:t>重点项目</w:t>
      </w:r>
    </w:p>
    <w:p>
      <w:pPr>
        <w:spacing w:beforeLines="0" w:afterLines="0"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  <w:t>综合金融服务方案</w:t>
      </w:r>
    </w:p>
    <w:p>
      <w:pPr>
        <w:spacing w:beforeLines="0" w:afterLines="0" w:line="560" w:lineRule="exact"/>
        <w:ind w:firstLine="640" w:firstLineChars="200"/>
        <w:jc w:val="both"/>
        <w:rPr>
          <w:rFonts w:hint="eastAsia" w:ascii="仿宋_GB2312" w:hAnsi="仿宋_GB2312" w:eastAsia="仿宋_GB2312" w:cs="Times New Roman"/>
          <w:sz w:val="32"/>
          <w:szCs w:val="36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中国农业银行股份有限公司佛山分行（下称“我行”）是佛山地区市场份额最大的金融机构，长期与区域内大型国企、上市公司、行业龙头保持着良好的业务合作关系，提供全方位、深层次的优质金融服务。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为积极响应支持佛山市重大项目复工开工，我行制定了全方位、深层次金融服务支持方案，解决重大项目实际金融需求。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一、支持领域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重点支持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佛山市内2020年省市重点建设项目</w:t>
      </w:r>
      <w:r>
        <w:rPr>
          <w:rFonts w:hint="eastAsia" w:ascii="仿宋_GB2312" w:hAnsi="仿宋_GB2312" w:eastAsia="仿宋_GB2312" w:cs="Times New Roman"/>
          <w:sz w:val="32"/>
          <w:szCs w:val="32"/>
        </w:rPr>
        <w:t>、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专项债和专项贷款支持项目、</w:t>
      </w:r>
      <w:r>
        <w:rPr>
          <w:rFonts w:hint="eastAsia" w:ascii="仿宋_GB2312" w:hAnsi="仿宋_GB2312" w:eastAsia="仿宋_GB2312" w:cs="Times New Roman"/>
          <w:sz w:val="32"/>
          <w:szCs w:val="32"/>
        </w:rPr>
        <w:t>基础设施补短板项目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优质制造业项目</w:t>
      </w:r>
      <w:r>
        <w:rPr>
          <w:rFonts w:hint="eastAsia" w:ascii="仿宋_GB2312" w:hAnsi="仿宋_GB2312" w:eastAsia="仿宋_GB2312" w:cs="Times New Roman"/>
          <w:sz w:val="32"/>
          <w:szCs w:val="32"/>
        </w:rPr>
        <w:t>及其他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符合市委市政府决策部署的重大项目等</w:t>
      </w:r>
      <w:r>
        <w:rPr>
          <w:rFonts w:hint="eastAsia" w:ascii="仿宋_GB2312" w:hAnsi="仿宋_GB2312" w:eastAsia="仿宋_GB2312" w:cs="Times New Roman"/>
          <w:sz w:val="32"/>
          <w:szCs w:val="32"/>
        </w:rPr>
        <w:t>，主要包括：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（一）传统基础设施建设项目：高速公路、铁路、机场、城市轨道交通、市政公用设施等。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（二）新基建项目：5G基建、特高压、城郊高速铁路和城际轨道交通、新能源汽车充电桩、大数据中心、人工智能、工业互联网等。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  <w:t>（三）专项债和专项贷款支持项目。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  <w:t>（四）粤港澳大湾区规划纲要范围内的高端创新集聚区规划建设项目，如佛山三龙湾高端创新集聚区内规划建设项目。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（五）城市更新（三旧改造）项目。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（六）村级工业园改造项目。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（七）工业和新兴产业园区建设项目。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（八）新兴制造业及传统产业转型升级项目。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  <w:t>教育、医疗、养老等民生领域项目及公共服务领域补短板项目。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22"/>
          <w:lang w:val="en-US" w:eastAsia="zh-CN"/>
        </w:rPr>
        <w:t>其他符合国家产业发展导向和省市政府决策部署的重大项目。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二、主要贷款要素</w:t>
      </w:r>
    </w:p>
    <w:p>
      <w:pPr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(一）贷款用途方面：</w:t>
      </w:r>
      <w:r>
        <w:rPr>
          <w:rFonts w:hint="eastAsia" w:ascii="仿宋_GB2312" w:hAnsi="仿宋_GB2312" w:eastAsia="仿宋_GB2312" w:cs="Times New Roman"/>
          <w:sz w:val="32"/>
          <w:szCs w:val="32"/>
        </w:rPr>
        <w:t>可用于：①日常经营周转；②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项目建设各阶段的资金投入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(二）贷款金额方面：</w:t>
      </w:r>
      <w:r>
        <w:rPr>
          <w:rFonts w:hint="eastAsia" w:ascii="仿宋_GB2312" w:hAnsi="仿宋_GB2312" w:eastAsia="仿宋_GB2312" w:cs="Times New Roman"/>
          <w:sz w:val="32"/>
          <w:szCs w:val="32"/>
        </w:rPr>
        <w:t>流动资金需求根据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项目单位</w:t>
      </w:r>
      <w:r>
        <w:rPr>
          <w:rFonts w:hint="eastAsia" w:ascii="仿宋_GB2312" w:hAnsi="仿宋_GB2312" w:eastAsia="仿宋_GB2312" w:cs="Times New Roman"/>
          <w:sz w:val="32"/>
          <w:szCs w:val="32"/>
        </w:rPr>
        <w:t>实际经营缺口测算；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项目建设</w:t>
      </w:r>
      <w:r>
        <w:rPr>
          <w:rFonts w:hint="eastAsia" w:ascii="仿宋_GB2312" w:hAnsi="仿宋_GB2312" w:eastAsia="仿宋_GB2312" w:cs="Times New Roman"/>
          <w:sz w:val="32"/>
          <w:szCs w:val="32"/>
        </w:rPr>
        <w:t>资金需求根据项目的实际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Times New Roman"/>
          <w:sz w:val="32"/>
          <w:szCs w:val="32"/>
        </w:rPr>
        <w:t>合理确定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  <w:t>贷款金额一般不超过项目总投资的</w:t>
      </w:r>
      <w:r>
        <w:rPr>
          <w:rFonts w:hint="eastAsia" w:ascii="仿宋_GB2312" w:hAnsi="仿宋_GB2312" w:eastAsia="仿宋_GB2312" w:cs="Times New Roman"/>
          <w:b/>
          <w:bCs/>
          <w:sz w:val="32"/>
          <w:szCs w:val="22"/>
          <w:lang w:val="en-US" w:eastAsia="zh-CN"/>
        </w:rPr>
        <w:t>80%</w:t>
      </w:r>
      <w:r>
        <w:rPr>
          <w:rFonts w:hint="eastAsia" w:ascii="仿宋_GB2312" w:hAnsi="仿宋_GB2312" w:eastAsia="仿宋_GB2312" w:cs="Times New Roman"/>
          <w:sz w:val="32"/>
          <w:szCs w:val="32"/>
        </w:rPr>
        <w:t>，项目资本金应符合国家和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农业</w:t>
      </w:r>
      <w:r>
        <w:rPr>
          <w:rFonts w:hint="eastAsia" w:ascii="仿宋_GB2312" w:hAnsi="仿宋_GB2312" w:eastAsia="仿宋_GB2312" w:cs="Times New Roman"/>
          <w:sz w:val="32"/>
          <w:szCs w:val="32"/>
        </w:rPr>
        <w:t>银行关于项目资本金管理规定。</w:t>
      </w:r>
    </w:p>
    <w:p>
      <w:pPr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(三）贷款期限方面：</w:t>
      </w:r>
      <w:r>
        <w:rPr>
          <w:rFonts w:hint="eastAsia" w:ascii="仿宋_GB2312" w:hAnsi="仿宋_GB2312" w:eastAsia="仿宋_GB2312" w:cs="Times New Roman"/>
          <w:sz w:val="32"/>
          <w:szCs w:val="32"/>
        </w:rPr>
        <w:t>贷款期限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一般可达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建设期+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20年</w:t>
      </w:r>
      <w:r>
        <w:rPr>
          <w:rFonts w:hint="eastAsia" w:ascii="仿宋_GB2312" w:hAnsi="仿宋_GB2312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Times New Roman"/>
          <w:sz w:val="32"/>
          <w:szCs w:val="32"/>
        </w:rPr>
        <w:t>视项目实际需求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适当延长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(四）贷款价格方面：</w:t>
      </w:r>
      <w:r>
        <w:rPr>
          <w:rFonts w:hint="eastAsia" w:ascii="仿宋_GB2312" w:hAnsi="仿宋_GB2312" w:eastAsia="仿宋_GB2312" w:cs="Times New Roman"/>
          <w:sz w:val="32"/>
          <w:szCs w:val="32"/>
        </w:rPr>
        <w:t>比照同档期LPR实施差异化优惠利率政策。</w:t>
      </w:r>
    </w:p>
    <w:p>
      <w:pPr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(五）还款方式方面：</w:t>
      </w:r>
      <w:r>
        <w:rPr>
          <w:rFonts w:hint="eastAsia" w:ascii="仿宋_GB2312" w:hAnsi="仿宋_GB2312" w:eastAsia="仿宋_GB2312" w:cs="Times New Roman"/>
          <w:sz w:val="32"/>
          <w:szCs w:val="32"/>
        </w:rPr>
        <w:t>贷款结息方式可按月或按季结息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还款计划</w:t>
      </w:r>
      <w:r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  <w:t>可根据项目实际情况灵活设定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三、专属服务支持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(一）专项贷款规模：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我行将优先安排专项规模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，确保满足符合授信和发放贷款条件的重点领域项目资金需求。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(二）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优先审结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通道审批：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省分行已建立优先审结通道，市分行将安排专职经理服务项目并跟进审批，确保项目的快速上报及审批通过。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（三）配套供应链融资服务：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依托我行“保理e融”产品，以项目公司为核心企业为其供应商提供批量、自动、便捷的应收账款管理、保理融资等综合性供应链金融服务，解决上游客户资金需求，保障项目稳步推进。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（四）资本金融资服务：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通过与我行子公司农银理财、农银国际、农银投资等“行司联动”，采用理财融资、直接投资等方式解决部分重大建设项目的前期资本金缺口。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（五）现金管理平台服务：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我行可为项目公司或股东搭建现金管理平台，以有效解决企业的多银行账户管理问题、提高财务效率为目的，为企业提供高效的多银行账户管理、付款管理、资金归集、资金监控、报表统计等功能服务。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(六）个人金融服务：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我行可为项目业主单位股东和高管个人提供个性化一对一服务，配套一揽子个人金融服务需求解决方案。</w:t>
      </w:r>
    </w:p>
    <w:p>
      <w:pPr>
        <w:spacing w:beforeLines="0" w:afterLines="0" w:line="480" w:lineRule="exact"/>
        <w:rPr>
          <w:rFonts w:ascii="彩虹粗仿宋" w:hAnsi="Calibri" w:eastAsia="彩虹粗仿宋" w:cs="Times New Roman"/>
          <w:sz w:val="32"/>
          <w:szCs w:val="32"/>
        </w:rPr>
      </w:pPr>
      <w:r>
        <w:rPr>
          <w:rFonts w:ascii="彩虹粗仿宋" w:hAnsi="Calibri" w:eastAsia="彩虹粗仿宋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</w:p>
    <w:p>
      <w:pPr>
        <w:spacing w:beforeLines="0" w:afterLines="0" w:line="2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Times New Roman"/>
          <w:sz w:val="44"/>
          <w:szCs w:val="32"/>
        </w:rPr>
      </w:pPr>
    </w:p>
    <w:p>
      <w:pPr>
        <w:spacing w:beforeLines="0" w:afterLines="0"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Times New Roman"/>
          <w:sz w:val="44"/>
          <w:szCs w:val="32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32"/>
        </w:rPr>
        <w:t>佛山市各区</w:t>
      </w:r>
      <w:r>
        <w:rPr>
          <w:rFonts w:hint="eastAsia" w:ascii="方正小标宋简体" w:hAnsi="方正小标宋简体" w:eastAsia="方正小标宋简体" w:cs="Times New Roman"/>
          <w:sz w:val="44"/>
          <w:szCs w:val="32"/>
          <w:lang w:val="en-US" w:eastAsia="zh-CN"/>
        </w:rPr>
        <w:t>农业</w:t>
      </w:r>
      <w:r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  <w:t>银行</w:t>
      </w:r>
      <w:r>
        <w:rPr>
          <w:rFonts w:hint="eastAsia" w:ascii="方正小标宋简体" w:hAnsi="方正小标宋简体" w:eastAsia="方正小标宋简体" w:cs="Times New Roman"/>
          <w:sz w:val="44"/>
          <w:szCs w:val="32"/>
        </w:rPr>
        <w:t>主要对接人名单</w:t>
      </w:r>
    </w:p>
    <w:tbl>
      <w:tblPr>
        <w:tblStyle w:val="3"/>
        <w:tblpPr w:leftFromText="180" w:rightFromText="180" w:vertAnchor="text" w:horzAnchor="page" w:tblpX="2158" w:tblpY="63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654"/>
        <w:gridCol w:w="1715"/>
        <w:gridCol w:w="1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部门/支行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主要对接人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投资银行与金融同业部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刘镇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13923120108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公司业务部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黄敏俊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18688296649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三水支行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宋清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13923108619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高明支行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高平舟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17708620091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华达支行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陈炯勋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13929919830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城郊支行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刘晓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13827758971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石湾支行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梁嘉豪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13590556776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祖庙支行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黄远聪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13929993834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南庄支行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陈耀文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13702920403</w:t>
            </w:r>
          </w:p>
        </w:tc>
      </w:tr>
    </w:tbl>
    <w:p>
      <w:pPr>
        <w:spacing w:beforeLines="0" w:afterLines="0" w:line="200" w:lineRule="exact"/>
        <w:ind w:firstLine="0" w:firstLineChars="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ind w:firstLine="640" w:firstLineChars="200"/>
        <w:rPr>
          <w:rFonts w:ascii="彩虹粗仿宋" w:hAnsi="Calibri" w:eastAsia="彩虹粗仿宋" w:cs="Times New Roman"/>
          <w:sz w:val="32"/>
          <w:szCs w:val="32"/>
        </w:rPr>
      </w:pPr>
    </w:p>
    <w:p>
      <w:pPr>
        <w:spacing w:beforeLines="0" w:afterLines="0" w:line="66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 w:line="66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 w:line="66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 w:line="66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 w:line="66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彩虹粗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0F9"/>
    <w:rsid w:val="2B0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2020-06-15T08:00:00Z</dcterms:created>
  <dc:creator>liuyi</dc:creator>
  <cp:lastModifiedBy>liuyi</cp:lastModifiedBy>
  <dcterms:modified xsi:type="dcterms:W3CDTF">2020-06-15T08:02:30Z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