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60" w:lineRule="exact"/>
        <w:ind w:firstLine="0" w:firstLineChars="0"/>
        <w:jc w:val="center"/>
        <w:rPr>
          <w:rFonts w:hint="eastAsia" w:ascii="方正小标宋简体" w:hAnsi="方正小标宋简体" w:eastAsia="方正小标宋简体"/>
          <w:sz w:val="44"/>
          <w:szCs w:val="36"/>
        </w:rPr>
      </w:pPr>
      <w:bookmarkStart w:id="0" w:name="_GoBack"/>
      <w:r>
        <w:rPr>
          <w:rFonts w:hint="eastAsia" w:ascii="方正小标宋简体" w:hAnsi="方正小标宋简体" w:eastAsia="方正小标宋简体"/>
          <w:sz w:val="44"/>
          <w:szCs w:val="36"/>
        </w:rPr>
        <w:t>建行佛山市分行</w:t>
      </w:r>
      <w:bookmarkEnd w:id="0"/>
      <w:r>
        <w:rPr>
          <w:rFonts w:hint="eastAsia" w:ascii="方正小标宋简体" w:hAnsi="方正小标宋简体" w:eastAsia="方正小标宋简体"/>
          <w:sz w:val="44"/>
          <w:szCs w:val="36"/>
        </w:rPr>
        <w:t>支持</w:t>
      </w:r>
      <w:r>
        <w:rPr>
          <w:rFonts w:hint="eastAsia" w:ascii="方正小标宋简体" w:hAnsi="方正小标宋简体" w:eastAsia="方正小标宋简体"/>
          <w:sz w:val="44"/>
          <w:szCs w:val="36"/>
          <w:lang w:eastAsia="zh-CN"/>
        </w:rPr>
        <w:t>重点项目</w:t>
      </w:r>
    </w:p>
    <w:p>
      <w:pPr>
        <w:spacing w:beforeLines="0" w:afterLines="0" w:line="660" w:lineRule="exact"/>
        <w:ind w:firstLine="0" w:firstLineChars="0"/>
        <w:jc w:val="center"/>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rPr>
        <w:t>综合金融服务方案</w:t>
      </w:r>
    </w:p>
    <w:p>
      <w:pPr>
        <w:spacing w:beforeLines="0" w:afterLines="0" w:line="560" w:lineRule="exact"/>
        <w:ind w:firstLine="640" w:firstLineChars="200"/>
        <w:jc w:val="both"/>
        <w:rPr>
          <w:rFonts w:hint="eastAsia" w:ascii="仿宋_GB2312" w:hAnsi="仿宋_GB2312" w:eastAsia="仿宋_GB2312"/>
          <w:sz w:val="32"/>
          <w:szCs w:val="36"/>
        </w:rPr>
      </w:pPr>
    </w:p>
    <w:p>
      <w:pPr>
        <w:spacing w:beforeLines="0" w:afterLines="0" w:line="560" w:lineRule="exact"/>
        <w:ind w:firstLine="640" w:firstLineChars="200"/>
        <w:rPr>
          <w:rFonts w:hint="eastAsia" w:ascii="黑体" w:hAnsi="黑体" w:eastAsia="黑体"/>
          <w:sz w:val="32"/>
          <w:szCs w:val="32"/>
        </w:rPr>
      </w:pPr>
      <w:r>
        <w:rPr>
          <w:rFonts w:hint="eastAsia" w:ascii="黑体" w:hAnsi="黑体" w:eastAsia="黑体"/>
          <w:sz w:val="32"/>
          <w:szCs w:val="32"/>
        </w:rPr>
        <w:t>一、支持领域</w:t>
      </w:r>
    </w:p>
    <w:p>
      <w:pPr>
        <w:spacing w:beforeLines="0" w:afterLines="0"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重点支持全市</w:t>
      </w:r>
      <w:r>
        <w:rPr>
          <w:rFonts w:hint="eastAsia" w:ascii="仿宋_GB2312" w:hAnsi="仿宋_GB2312" w:eastAsia="仿宋_GB2312"/>
          <w:sz w:val="32"/>
          <w:szCs w:val="32"/>
          <w:lang w:eastAsia="zh-CN"/>
        </w:rPr>
        <w:t>重点项目</w:t>
      </w:r>
      <w:r>
        <w:rPr>
          <w:rFonts w:hint="eastAsia" w:ascii="仿宋_GB2312" w:hAnsi="仿宋_GB2312" w:eastAsia="仿宋_GB2312"/>
          <w:sz w:val="32"/>
          <w:szCs w:val="32"/>
        </w:rPr>
        <w:t>、基础设施补短板项目及其他符合市委市政府部署的</w:t>
      </w:r>
      <w:r>
        <w:rPr>
          <w:rFonts w:hint="eastAsia" w:ascii="仿宋_GB2312" w:hAnsi="仿宋_GB2312" w:eastAsia="仿宋_GB2312"/>
          <w:sz w:val="32"/>
          <w:szCs w:val="32"/>
          <w:lang w:eastAsia="zh-CN"/>
        </w:rPr>
        <w:t>重大项目</w:t>
      </w:r>
      <w:r>
        <w:rPr>
          <w:rFonts w:hint="eastAsia" w:ascii="仿宋_GB2312" w:hAnsi="仿宋_GB2312" w:eastAsia="仿宋_GB2312"/>
          <w:sz w:val="32"/>
          <w:szCs w:val="32"/>
        </w:rPr>
        <w:t>，主要包括：</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（一）基础设施建设项目。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（二）城市更新（三旧改造）项目。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（三）村级工业园改造项目。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（四）产业园区建设项目。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（五）企业技术升级改造项目。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（六）纳入佛山市2020年</w:t>
      </w:r>
      <w:r>
        <w:rPr>
          <w:rFonts w:hint="eastAsia" w:ascii="楷体_GB2312" w:hAnsi="楷体_GB2312" w:eastAsia="楷体_GB2312"/>
          <w:sz w:val="32"/>
          <w:szCs w:val="32"/>
          <w:lang w:eastAsia="zh-CN"/>
        </w:rPr>
        <w:t>重点项目</w:t>
      </w:r>
      <w:r>
        <w:rPr>
          <w:rFonts w:hint="eastAsia" w:ascii="楷体_GB2312" w:hAnsi="楷体_GB2312" w:eastAsia="楷体_GB2312"/>
          <w:sz w:val="32"/>
          <w:szCs w:val="32"/>
        </w:rPr>
        <w:t>名单内项目。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（七）人才安居房建设项目。</w:t>
      </w:r>
    </w:p>
    <w:p>
      <w:pPr>
        <w:spacing w:beforeLines="0" w:afterLines="0" w:line="560" w:lineRule="exact"/>
        <w:ind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（八）新农村改造建设项目。</w:t>
      </w:r>
    </w:p>
    <w:p>
      <w:pPr>
        <w:spacing w:beforeLines="0" w:afterLines="0" w:line="560" w:lineRule="exact"/>
        <w:ind w:firstLine="640" w:firstLineChars="200"/>
        <w:rPr>
          <w:rFonts w:hint="eastAsia" w:ascii="黑体" w:hAnsi="黑体" w:eastAsia="黑体"/>
          <w:sz w:val="32"/>
          <w:szCs w:val="32"/>
        </w:rPr>
      </w:pPr>
      <w:r>
        <w:rPr>
          <w:rFonts w:hint="eastAsia" w:ascii="黑体" w:hAnsi="黑体" w:eastAsia="黑体"/>
          <w:sz w:val="32"/>
          <w:szCs w:val="32"/>
        </w:rPr>
        <w:t>二、主要贷款要素</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(一）贷款用途方面：</w:t>
      </w:r>
      <w:r>
        <w:rPr>
          <w:rFonts w:hint="eastAsia" w:ascii="仿宋_GB2312" w:hAnsi="仿宋_GB2312" w:eastAsia="仿宋_GB2312"/>
          <w:sz w:val="32"/>
          <w:szCs w:val="32"/>
        </w:rPr>
        <w:t>可用于：①日常经营周转；②各类项目新建、改扩建和技术升级改造；③城市更新（三旧改造）、村级工业园改造前期服务商及后期的项目建设资金投入；④基础设施建设、产业园区建设、以及乡村建设的资金投入。</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(二）贷款金额方面：</w:t>
      </w:r>
      <w:r>
        <w:rPr>
          <w:rFonts w:hint="eastAsia" w:ascii="仿宋_GB2312" w:hAnsi="仿宋_GB2312" w:eastAsia="仿宋_GB2312"/>
          <w:sz w:val="32"/>
          <w:szCs w:val="32"/>
        </w:rPr>
        <w:t>流动资金需求根据</w:t>
      </w:r>
      <w:r>
        <w:rPr>
          <w:rFonts w:hint="eastAsia" w:ascii="仿宋_GB2312" w:hAnsi="仿宋_GB2312" w:eastAsia="仿宋_GB2312"/>
          <w:sz w:val="32"/>
          <w:szCs w:val="32"/>
          <w:lang w:eastAsia="zh-CN"/>
        </w:rPr>
        <w:t>项目单位</w:t>
      </w:r>
      <w:r>
        <w:rPr>
          <w:rFonts w:hint="eastAsia" w:ascii="仿宋_GB2312" w:hAnsi="仿宋_GB2312" w:eastAsia="仿宋_GB2312"/>
          <w:sz w:val="32"/>
          <w:szCs w:val="32"/>
        </w:rPr>
        <w:t>实际经营缺口测算；建设类资金需求根据项目的实际需要、风险水平等因素合理确定。其中，项目资本金应符合国家和建设银行关于项目资本金管理规定和最低资本金比例要求。</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(三）贷款期限方面：</w:t>
      </w:r>
      <w:r>
        <w:rPr>
          <w:rFonts w:hint="eastAsia" w:ascii="仿宋_GB2312" w:hAnsi="仿宋_GB2312" w:eastAsia="仿宋_GB2312"/>
          <w:sz w:val="32"/>
          <w:szCs w:val="32"/>
        </w:rPr>
        <w:t>贷款期限最长20年，视项目实际需求及用途明确。</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(四）贷款价格方面：</w:t>
      </w:r>
      <w:r>
        <w:rPr>
          <w:rFonts w:hint="eastAsia" w:ascii="仿宋_GB2312" w:hAnsi="仿宋_GB2312" w:eastAsia="仿宋_GB2312"/>
          <w:sz w:val="32"/>
          <w:szCs w:val="32"/>
        </w:rPr>
        <w:t>比照同档期LPR实施差异化优惠利率政策，给予市</w:t>
      </w:r>
      <w:r>
        <w:rPr>
          <w:rFonts w:hint="eastAsia" w:ascii="仿宋_GB2312" w:hAnsi="仿宋_GB2312" w:eastAsia="仿宋_GB2312"/>
          <w:sz w:val="32"/>
          <w:szCs w:val="32"/>
          <w:lang w:eastAsia="zh-CN"/>
        </w:rPr>
        <w:t>重大项目</w:t>
      </w:r>
      <w:r>
        <w:rPr>
          <w:rFonts w:hint="eastAsia" w:ascii="仿宋_GB2312" w:hAnsi="仿宋_GB2312" w:eastAsia="仿宋_GB2312"/>
          <w:sz w:val="32"/>
          <w:szCs w:val="32"/>
        </w:rPr>
        <w:t>融资最优利率。</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(五）还款方式方面：</w:t>
      </w:r>
      <w:r>
        <w:rPr>
          <w:rFonts w:hint="eastAsia" w:ascii="仿宋_GB2312" w:hAnsi="仿宋_GB2312" w:eastAsia="仿宋_GB2312"/>
          <w:sz w:val="32"/>
          <w:szCs w:val="32"/>
        </w:rPr>
        <w:t>贷款结息方式可按月或按季结息， 偿还本金方式按项目情况协商确定。</w:t>
      </w:r>
    </w:p>
    <w:p>
      <w:pPr>
        <w:spacing w:beforeLines="0" w:afterLines="0" w:line="560" w:lineRule="exact"/>
        <w:ind w:firstLine="640" w:firstLineChars="200"/>
        <w:rPr>
          <w:rFonts w:hint="eastAsia" w:ascii="黑体" w:hAnsi="黑体" w:eastAsia="黑体"/>
          <w:sz w:val="32"/>
          <w:szCs w:val="32"/>
        </w:rPr>
      </w:pPr>
      <w:r>
        <w:rPr>
          <w:rFonts w:hint="eastAsia" w:ascii="黑体" w:hAnsi="黑体" w:eastAsia="黑体"/>
          <w:sz w:val="32"/>
          <w:szCs w:val="32"/>
        </w:rPr>
        <w:t>三、专属服务支持</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(一）专项贷款规模：</w:t>
      </w:r>
      <w:r>
        <w:rPr>
          <w:rFonts w:hint="eastAsia" w:ascii="仿宋_GB2312" w:hAnsi="仿宋_GB2312" w:eastAsia="仿宋_GB2312"/>
          <w:sz w:val="32"/>
          <w:szCs w:val="32"/>
        </w:rPr>
        <w:t>佛山建行拟给予全市</w:t>
      </w:r>
      <w:r>
        <w:rPr>
          <w:rFonts w:hint="eastAsia" w:ascii="仿宋_GB2312" w:hAnsi="仿宋_GB2312" w:eastAsia="仿宋_GB2312"/>
          <w:sz w:val="32"/>
          <w:szCs w:val="32"/>
          <w:lang w:eastAsia="zh-CN"/>
        </w:rPr>
        <w:t>重点项目</w:t>
      </w:r>
      <w:r>
        <w:rPr>
          <w:rFonts w:hint="eastAsia" w:ascii="仿宋_GB2312" w:hAnsi="仿宋_GB2312" w:eastAsia="仿宋_GB2312"/>
          <w:sz w:val="32"/>
          <w:szCs w:val="32"/>
        </w:rPr>
        <w:t>专项融资额度，用于在建行办理上述融资产品的企业客户支用贷款，优先实施合同制作，优先进行放款审核，全力支持</w:t>
      </w:r>
      <w:r>
        <w:rPr>
          <w:rFonts w:hint="eastAsia" w:ascii="仿宋_GB2312" w:hAnsi="仿宋_GB2312" w:eastAsia="仿宋_GB2312"/>
          <w:sz w:val="32"/>
          <w:szCs w:val="32"/>
          <w:lang w:eastAsia="zh-CN"/>
        </w:rPr>
        <w:t>重点项目</w:t>
      </w:r>
      <w:r>
        <w:rPr>
          <w:rFonts w:hint="eastAsia" w:ascii="仿宋_GB2312" w:hAnsi="仿宋_GB2312" w:eastAsia="仿宋_GB2312"/>
          <w:sz w:val="32"/>
          <w:szCs w:val="32"/>
        </w:rPr>
        <w:t>建设进度，确保信贷资金及时到位。</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(二）绿色通道审批：</w:t>
      </w:r>
      <w:r>
        <w:rPr>
          <w:rFonts w:hint="eastAsia" w:ascii="仿宋_GB2312" w:hAnsi="仿宋_GB2312" w:eastAsia="仿宋_GB2312"/>
          <w:sz w:val="32"/>
          <w:szCs w:val="32"/>
        </w:rPr>
        <w:t>对办理上述融资产品的企业客户， 建设银行将实施绿色审批通道模式，贷款客户优先受理、优先审批、切实提升客户授信审批效率。</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(三）优化申报流程：</w:t>
      </w:r>
      <w:r>
        <w:rPr>
          <w:rFonts w:hint="eastAsia" w:ascii="仿宋_GB2312" w:hAnsi="仿宋_GB2312" w:eastAsia="仿宋_GB2312"/>
          <w:sz w:val="32"/>
          <w:szCs w:val="32"/>
        </w:rPr>
        <w:t>对于符合国家产业政策、环保政策 和监管要求的项目，可通过优先核准程序进行快速准入。</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(四）改善客户分类：</w:t>
      </w:r>
      <w:r>
        <w:rPr>
          <w:rFonts w:hint="eastAsia" w:ascii="仿宋_GB2312" w:hAnsi="仿宋_GB2312" w:eastAsia="仿宋_GB2312"/>
          <w:sz w:val="32"/>
          <w:szCs w:val="32"/>
        </w:rPr>
        <w:t>对于满足条件的项目可享受行业优 惠政策，进一步增强企业信贷优惠力度。</w:t>
      </w:r>
    </w:p>
    <w:p>
      <w:pPr>
        <w:spacing w:beforeLines="0" w:afterLines="0" w:line="560" w:lineRule="exact"/>
        <w:ind w:firstLine="640" w:firstLineChars="200"/>
        <w:rPr>
          <w:rFonts w:hint="eastAsia" w:ascii="仿宋_GB2312" w:hAnsi="仿宋_GB2312" w:eastAsia="仿宋_GB2312"/>
          <w:sz w:val="32"/>
          <w:szCs w:val="32"/>
        </w:rPr>
      </w:pPr>
      <w:r>
        <w:rPr>
          <w:rFonts w:hint="eastAsia" w:ascii="楷体_GB2312" w:hAnsi="楷体_GB2312" w:eastAsia="楷体_GB2312"/>
          <w:sz w:val="32"/>
          <w:szCs w:val="32"/>
        </w:rPr>
        <w:t>(五）配套金融服务：</w:t>
      </w:r>
      <w:r>
        <w:rPr>
          <w:rFonts w:hint="eastAsia" w:ascii="仿宋_GB2312" w:hAnsi="仿宋_GB2312" w:eastAsia="仿宋_GB2312"/>
          <w:sz w:val="32"/>
          <w:szCs w:val="32"/>
        </w:rPr>
        <w:t>升级“民工惠”金融服务平台，为项目建设单位提供代发工资、在线培训、在线技能认证、在线找工等服务，畅通用工信息供需对接机制；建立企业复工复产帮扶机制，升级网络供应链线上服务，通过建行供应链金融平台协助找订单，为企业提供账期延长、简化核心企业准入、减免业务费用等差别化服务；升级对项目业主单位股东和高管个人的个性化一对一服务，全力解决个人金融服务需求。</w:t>
      </w:r>
    </w:p>
    <w:p>
      <w:pPr>
        <w:spacing w:beforeLines="0" w:afterLines="0" w:line="480" w:lineRule="exact"/>
        <w:rPr>
          <w:rFonts w:ascii="彩虹粗仿宋" w:eastAsia="彩虹粗仿宋"/>
          <w:sz w:val="32"/>
          <w:szCs w:val="32"/>
        </w:rPr>
      </w:pPr>
      <w:r>
        <w:rPr>
          <w:rFonts w:ascii="彩虹粗仿宋" w:eastAsia="彩虹粗仿宋"/>
          <w:sz w:val="32"/>
          <w:szCs w:val="32"/>
        </w:rPr>
        <w:br w:type="page"/>
      </w:r>
      <w:r>
        <w:rPr>
          <w:rFonts w:hint="eastAsia" w:ascii="黑体" w:hAnsi="黑体" w:eastAsia="黑体" w:cs="黑体"/>
          <w:sz w:val="32"/>
          <w:szCs w:val="32"/>
          <w:lang w:eastAsia="zh-CN"/>
        </w:rPr>
        <w:t>附表</w:t>
      </w:r>
    </w:p>
    <w:p>
      <w:pPr>
        <w:spacing w:beforeLines="0" w:afterLines="0" w:line="200" w:lineRule="exact"/>
        <w:ind w:left="0" w:leftChars="0" w:right="0" w:rightChars="0" w:firstLine="0" w:firstLineChars="0"/>
        <w:jc w:val="center"/>
        <w:rPr>
          <w:rFonts w:hint="eastAsia" w:ascii="方正小标宋简体" w:hAnsi="方正小标宋简体" w:eastAsia="方正小标宋简体"/>
          <w:sz w:val="44"/>
          <w:szCs w:val="32"/>
        </w:rPr>
      </w:pPr>
    </w:p>
    <w:p>
      <w:pPr>
        <w:spacing w:beforeLines="0" w:afterLines="0" w:line="600" w:lineRule="exact"/>
        <w:ind w:left="0" w:leftChars="0" w:right="0" w:rightChars="0" w:firstLine="0" w:firstLineChars="0"/>
        <w:jc w:val="center"/>
        <w:rPr>
          <w:rFonts w:hint="eastAsia" w:ascii="方正小标宋简体" w:hAnsi="方正小标宋简体" w:eastAsia="方正小标宋简体"/>
          <w:sz w:val="44"/>
          <w:szCs w:val="32"/>
        </w:rPr>
      </w:pPr>
      <w:r>
        <w:rPr>
          <w:rFonts w:hint="eastAsia" w:ascii="方正小标宋简体" w:hAnsi="方正小标宋简体" w:eastAsia="方正小标宋简体"/>
          <w:sz w:val="44"/>
          <w:szCs w:val="32"/>
        </w:rPr>
        <w:t>佛山市各区</w:t>
      </w:r>
      <w:r>
        <w:rPr>
          <w:rFonts w:hint="eastAsia" w:ascii="方正小标宋简体" w:hAnsi="方正小标宋简体" w:eastAsia="方正小标宋简体"/>
          <w:sz w:val="44"/>
          <w:szCs w:val="32"/>
          <w:lang w:eastAsia="zh-CN"/>
        </w:rPr>
        <w:t>建设银行</w:t>
      </w:r>
      <w:r>
        <w:rPr>
          <w:rFonts w:hint="eastAsia" w:ascii="方正小标宋简体" w:hAnsi="方正小标宋简体" w:eastAsia="方正小标宋简体"/>
          <w:sz w:val="44"/>
          <w:szCs w:val="32"/>
        </w:rPr>
        <w:t>主要对接人名单</w:t>
      </w:r>
    </w:p>
    <w:tbl>
      <w:tblPr>
        <w:tblStyle w:val="3"/>
        <w:tblpPr w:leftFromText="180" w:rightFromText="180" w:vertAnchor="text" w:horzAnchor="page" w:tblpX="2158" w:tblpY="63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2"/>
        <w:gridCol w:w="2422"/>
        <w:gridCol w:w="1947"/>
        <w:gridCol w:w="1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4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部门/支行</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主要对接人</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w:t>
            </w:r>
          </w:p>
        </w:tc>
        <w:tc>
          <w:tcPr>
            <w:tcW w:w="2422" w:type="dxa"/>
            <w:tcBorders>
              <w:top w:val="single" w:color="auto" w:sz="4" w:space="0"/>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公司委办</w:t>
            </w:r>
          </w:p>
        </w:tc>
        <w:tc>
          <w:tcPr>
            <w:tcW w:w="1947" w:type="dxa"/>
            <w:tcBorders>
              <w:top w:val="single" w:color="auto" w:sz="4" w:space="0"/>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吴景新</w:t>
            </w:r>
          </w:p>
        </w:tc>
        <w:tc>
          <w:tcPr>
            <w:tcW w:w="1947" w:type="dxa"/>
            <w:tcBorders>
              <w:top w:val="single" w:color="auto" w:sz="4" w:space="0"/>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13702922925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2</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分行营业部</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李远辉</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13923262945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3</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禅城中心区域支行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廖坚豪</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13425704755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4</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汾江区域支行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林国荣</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13929195252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5</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祖庙区域支行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刘思远</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13902426619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6</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南海区域支行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冯智忠</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13703066566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7</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西樵区域支行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冯显森</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13709660391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8</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大沥区域支行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李军</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13702908555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9</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狮山区域支行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梁嘉毅</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13827777441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10</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罗村区域支行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劳肖萍</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13927757211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11</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三水区域支行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严道远</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13702344789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12</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高明区域支行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许德荣</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13923224868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大良区域支行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叶永亨</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18022229062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14</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容奇区域支行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郑志成</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13802686093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15</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北滘区域支行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谢伟超</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18022229119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shd w:val="clear" w:color="auto" w:fill="auto"/>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16</w:t>
            </w:r>
          </w:p>
        </w:tc>
        <w:tc>
          <w:tcPr>
            <w:tcW w:w="2422" w:type="dxa"/>
            <w:tcBorders>
              <w:top w:val="nil"/>
              <w:left w:val="nil"/>
              <w:bottom w:val="single" w:color="auto" w:sz="4" w:space="0"/>
              <w:right w:val="single" w:color="auto" w:sz="4" w:space="0"/>
            </w:tcBorders>
            <w:shd w:val="clear" w:color="auto" w:fill="auto"/>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乐从区域支行</w:t>
            </w:r>
          </w:p>
        </w:tc>
        <w:tc>
          <w:tcPr>
            <w:tcW w:w="1947" w:type="dxa"/>
            <w:tcBorders>
              <w:top w:val="nil"/>
              <w:left w:val="nil"/>
              <w:bottom w:val="single" w:color="auto" w:sz="4" w:space="0"/>
              <w:right w:val="single" w:color="auto" w:sz="4" w:space="0"/>
            </w:tcBorders>
            <w:shd w:val="clear" w:color="auto" w:fill="auto"/>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陈耀辉</w:t>
            </w:r>
          </w:p>
        </w:tc>
        <w:tc>
          <w:tcPr>
            <w:tcW w:w="1947" w:type="dxa"/>
            <w:tcBorders>
              <w:top w:val="nil"/>
              <w:left w:val="nil"/>
              <w:bottom w:val="single" w:color="auto" w:sz="4" w:space="0"/>
              <w:right w:val="single" w:color="auto" w:sz="4" w:space="0"/>
            </w:tcBorders>
            <w:shd w:val="clear" w:color="000000" w:fill="FFFFFF"/>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13927274164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472" w:type="dxa"/>
            <w:tcBorders>
              <w:top w:val="nil"/>
              <w:left w:val="single" w:color="auto" w:sz="4" w:space="0"/>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17</w:t>
            </w:r>
          </w:p>
        </w:tc>
        <w:tc>
          <w:tcPr>
            <w:tcW w:w="2422"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龙江区域支行</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罗沛明</w:t>
            </w:r>
          </w:p>
        </w:tc>
        <w:tc>
          <w:tcPr>
            <w:tcW w:w="1947"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仿宋_GB2312" w:hAnsi="仿宋_GB2312" w:eastAsia="仿宋_GB2312" w:cs="宋体"/>
                <w:color w:val="000000"/>
                <w:kern w:val="0"/>
                <w:sz w:val="24"/>
              </w:rPr>
            </w:pPr>
            <w:r>
              <w:rPr>
                <w:rFonts w:hint="eastAsia" w:ascii="仿宋_GB2312" w:hAnsi="仿宋_GB2312" w:eastAsia="仿宋_GB2312" w:cs="宋体"/>
                <w:color w:val="000000"/>
                <w:kern w:val="0"/>
                <w:sz w:val="24"/>
              </w:rPr>
              <w:t>13825516484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53053"/>
    <w:rsid w:val="7895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2020-06-15T07:57:00Z</dcterms:created>
  <dc:creator>liuyi</dc:creator>
  <cp:lastModifiedBy>liuyi</cp:lastModifiedBy>
  <dcterms:modified xsi:type="dcterms:W3CDTF">2020-06-15T08:02:51Z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