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b w:val="0"/>
          <w:bCs/>
          <w:color w:val="000000"/>
          <w:sz w:val="44"/>
          <w:szCs w:val="44"/>
          <w:highlight w:val="none"/>
        </w:rPr>
      </w:pPr>
      <w:r>
        <w:rPr>
          <w:rFonts w:hint="eastAsia" w:ascii="方正小标宋简体" w:hAnsi="方正小标宋简体" w:eastAsia="方正小标宋简体"/>
          <w:b w:val="0"/>
          <w:bCs/>
          <w:color w:val="000000"/>
          <w:sz w:val="44"/>
          <w:szCs w:val="44"/>
          <w:highlight w:val="none"/>
          <w:lang w:val="en-US" w:eastAsia="zh-CN"/>
        </w:rPr>
        <w:t>光大银行佛山分行</w:t>
      </w:r>
      <w:r>
        <w:rPr>
          <w:rFonts w:hint="eastAsia" w:ascii="方正小标宋简体" w:hAnsi="方正小标宋简体" w:eastAsia="方正小标宋简体"/>
          <w:b w:val="0"/>
          <w:bCs/>
          <w:color w:val="000000"/>
          <w:sz w:val="44"/>
          <w:szCs w:val="44"/>
          <w:highlight w:val="none"/>
        </w:rPr>
        <w:t>支持幼儿园等教育事业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b w:val="0"/>
          <w:bCs/>
          <w:color w:val="000000"/>
          <w:sz w:val="44"/>
          <w:szCs w:val="44"/>
          <w:highlight w:val="none"/>
        </w:rPr>
      </w:pPr>
      <w:r>
        <w:rPr>
          <w:rFonts w:hint="eastAsia" w:ascii="方正小标宋简体" w:hAnsi="方正小标宋简体" w:eastAsia="方正小标宋简体"/>
          <w:b w:val="0"/>
          <w:bCs/>
          <w:color w:val="000000"/>
          <w:sz w:val="44"/>
          <w:szCs w:val="44"/>
          <w:highlight w:val="none"/>
        </w:rPr>
        <w:t>综合金融服务方案</w:t>
      </w:r>
    </w:p>
    <w:p>
      <w:pPr>
        <w:pStyle w:val="5"/>
        <w:spacing w:line="560" w:lineRule="exact"/>
        <w:ind w:firstLine="640" w:firstLineChars="200"/>
        <w:rPr>
          <w:rFonts w:ascii="仿宋_GB2312" w:hAnsi="仿宋_GB2312" w:eastAsia="仿宋_GB2312"/>
          <w:sz w:val="32"/>
          <w:szCs w:val="22"/>
          <w:highlight w:val="none"/>
        </w:rPr>
      </w:pP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为积极响应支持佛山市“六稳”、“六保”工作，稳定居民就业，保障基本民生，</w:t>
      </w:r>
      <w:r>
        <w:rPr>
          <w:rFonts w:hint="eastAsia" w:ascii="仿宋_GB2312" w:hAnsi="仿宋_GB2312" w:eastAsia="仿宋_GB2312"/>
          <w:sz w:val="32"/>
          <w:szCs w:val="22"/>
          <w:highlight w:val="none"/>
          <w:lang w:val="en-US" w:eastAsia="zh-CN"/>
        </w:rPr>
        <w:t>光大银行佛山分行</w:t>
      </w:r>
      <w:r>
        <w:rPr>
          <w:rFonts w:hint="eastAsia" w:ascii="仿宋_GB2312" w:hAnsi="仿宋_GB2312" w:eastAsia="仿宋_GB2312"/>
          <w:sz w:val="32"/>
          <w:szCs w:val="22"/>
          <w:highlight w:val="none"/>
        </w:rPr>
        <w:t>在稳就业中就幼儿园制定了全方位、深层次金融服务支持方案，解决企业实际金融需求。</w:t>
      </w:r>
      <w:bookmarkStart w:id="0" w:name="_GoBack"/>
      <w:bookmarkEnd w:id="0"/>
    </w:p>
    <w:p>
      <w:pPr>
        <w:pStyle w:val="5"/>
        <w:spacing w:line="540" w:lineRule="exact"/>
        <w:ind w:firstLine="800" w:firstLineChars="250"/>
        <w:rPr>
          <w:rFonts w:ascii="黑体" w:hAnsi="黑体" w:eastAsia="黑体"/>
          <w:sz w:val="32"/>
          <w:szCs w:val="22"/>
          <w:highlight w:val="none"/>
        </w:rPr>
      </w:pPr>
      <w:r>
        <w:rPr>
          <w:rFonts w:hint="eastAsia" w:ascii="黑体" w:hAnsi="黑体" w:eastAsia="黑体"/>
          <w:sz w:val="32"/>
          <w:szCs w:val="22"/>
          <w:highlight w:val="none"/>
        </w:rPr>
        <w:t>一、幼儿园服务方案</w:t>
      </w:r>
    </w:p>
    <w:p>
      <w:pPr>
        <w:pStyle w:val="5"/>
        <w:spacing w:line="540" w:lineRule="exact"/>
        <w:ind w:firstLine="640" w:firstLineChars="200"/>
        <w:rPr>
          <w:rFonts w:ascii="楷体_GB2312" w:hAnsi="楷体_GB2312" w:eastAsia="楷体_GB2312"/>
          <w:sz w:val="32"/>
          <w:szCs w:val="22"/>
          <w:highlight w:val="none"/>
        </w:rPr>
      </w:pPr>
      <w:r>
        <w:rPr>
          <w:rFonts w:hint="eastAsia" w:ascii="楷体_GB2312" w:hAnsi="楷体_GB2312" w:eastAsia="楷体_GB2312"/>
          <w:sz w:val="32"/>
          <w:szCs w:val="22"/>
          <w:highlight w:val="none"/>
        </w:rPr>
        <w:t>（一）重点支持领域</w:t>
      </w:r>
    </w:p>
    <w:p>
      <w:pPr>
        <w:pStyle w:val="5"/>
        <w:spacing w:line="540" w:lineRule="exact"/>
        <w:ind w:firstLine="640" w:firstLineChars="200"/>
        <w:rPr>
          <w:rFonts w:hint="eastAsia" w:ascii="仿宋_GB2312" w:hAnsi="仿宋_GB2312" w:eastAsia="仿宋_GB2312"/>
          <w:sz w:val="32"/>
          <w:szCs w:val="22"/>
          <w:highlight w:val="none"/>
          <w:lang w:eastAsia="zh-CN"/>
        </w:rPr>
      </w:pPr>
      <w:r>
        <w:rPr>
          <w:rFonts w:hint="eastAsia" w:ascii="仿宋_GB2312" w:hAnsi="仿宋_GB2312" w:eastAsia="仿宋_GB2312"/>
          <w:sz w:val="32"/>
          <w:szCs w:val="22"/>
          <w:highlight w:val="none"/>
        </w:rPr>
        <w:t>优质民营幼儿园</w:t>
      </w:r>
      <w:r>
        <w:rPr>
          <w:rFonts w:hint="eastAsia" w:ascii="仿宋_GB2312" w:hAnsi="仿宋_GB2312" w:eastAsia="仿宋_GB2312"/>
          <w:sz w:val="32"/>
          <w:szCs w:val="22"/>
          <w:highlight w:val="none"/>
          <w:lang w:eastAsia="zh-CN"/>
        </w:rPr>
        <w:t>。</w:t>
      </w:r>
    </w:p>
    <w:p>
      <w:pPr>
        <w:pStyle w:val="5"/>
        <w:spacing w:line="540" w:lineRule="exact"/>
        <w:ind w:firstLine="640" w:firstLineChars="200"/>
        <w:rPr>
          <w:rFonts w:ascii="楷体_GB2312" w:hAnsi="楷体_GB2312" w:eastAsia="楷体_GB2312"/>
          <w:sz w:val="32"/>
          <w:szCs w:val="22"/>
          <w:highlight w:val="none"/>
        </w:rPr>
      </w:pPr>
      <w:r>
        <w:rPr>
          <w:rFonts w:hint="eastAsia" w:ascii="楷体_GB2312" w:hAnsi="楷体_GB2312" w:eastAsia="楷体_GB2312"/>
          <w:sz w:val="32"/>
          <w:szCs w:val="22"/>
          <w:highlight w:val="none"/>
        </w:rPr>
        <w:t>（二）准入条件及要求</w:t>
      </w: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1</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借款企业原则上成立时间两年及以上或实际控制人从业经验五年及以上；</w:t>
      </w: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2</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借款企业原则上连续两年保持盈利；</w:t>
      </w: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3</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借款人及实际控制人征信记录良好；</w:t>
      </w: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4</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借款企业经营管理资产负债率水平合理（不超80%），具备偿还债务的能力；</w:t>
      </w: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5</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借款人同意在我行开立结算账户，并授权我行从约定账户中做薪资代发；直接扣收贷款本息以及应由借款人承担的其他费用。</w:t>
      </w:r>
    </w:p>
    <w:p>
      <w:pPr>
        <w:pStyle w:val="5"/>
        <w:spacing w:line="540" w:lineRule="exact"/>
        <w:ind w:firstLine="640" w:firstLineChars="200"/>
        <w:rPr>
          <w:rFonts w:ascii="楷体_GB2312" w:hAnsi="楷体_GB2312" w:eastAsia="楷体_GB2312"/>
          <w:sz w:val="32"/>
          <w:szCs w:val="22"/>
          <w:highlight w:val="none"/>
        </w:rPr>
      </w:pPr>
      <w:r>
        <w:rPr>
          <w:rFonts w:hint="eastAsia" w:ascii="楷体_GB2312" w:hAnsi="楷体_GB2312" w:eastAsia="楷体_GB2312"/>
          <w:sz w:val="32"/>
          <w:szCs w:val="22"/>
          <w:highlight w:val="none"/>
        </w:rPr>
        <w:t>（三）融资支持服务</w:t>
      </w: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1</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授信品种：流动资金贷款；</w:t>
      </w:r>
    </w:p>
    <w:p>
      <w:pPr>
        <w:pStyle w:val="5"/>
        <w:spacing w:line="540" w:lineRule="exact"/>
        <w:ind w:firstLine="640" w:firstLineChars="200"/>
        <w:rPr>
          <w:rFonts w:ascii="仿宋_GB2312" w:hAnsi="仿宋_GB2312" w:eastAsia="仿宋_GB2312"/>
          <w:sz w:val="32"/>
          <w:szCs w:val="22"/>
          <w:highlight w:val="none"/>
        </w:rPr>
      </w:pPr>
      <w:r>
        <w:rPr>
          <w:rFonts w:hint="eastAsia" w:ascii="仿宋_GB2312" w:hAnsi="仿宋_GB2312" w:eastAsia="仿宋_GB2312"/>
          <w:sz w:val="32"/>
          <w:szCs w:val="22"/>
          <w:highlight w:val="none"/>
        </w:rPr>
        <w:t>2</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授信方式：循环额度授信；</w:t>
      </w:r>
    </w:p>
    <w:p>
      <w:pPr>
        <w:pStyle w:val="5"/>
        <w:spacing w:line="54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highlight w:val="none"/>
        </w:rPr>
        <w:t>3</w:t>
      </w:r>
      <w:r>
        <w:rPr>
          <w:rFonts w:hint="eastAsia" w:ascii="仿宋_GB2312" w:hAnsi="仿宋_GB2312" w:eastAsia="仿宋_GB2312"/>
          <w:sz w:val="32"/>
          <w:szCs w:val="22"/>
          <w:highlight w:val="none"/>
          <w:lang w:val="en-US" w:eastAsia="zh-CN"/>
        </w:rPr>
        <w:t>.</w:t>
      </w:r>
      <w:r>
        <w:rPr>
          <w:rFonts w:hint="eastAsia" w:ascii="仿宋_GB2312" w:hAnsi="仿宋_GB2312" w:eastAsia="仿宋_GB2312"/>
          <w:sz w:val="32"/>
          <w:szCs w:val="22"/>
          <w:highlight w:val="none"/>
        </w:rPr>
        <w:t>授信金额：借款人近一年的薪资发放总</w:t>
      </w:r>
      <w:r>
        <w:rPr>
          <w:rFonts w:hint="eastAsia" w:ascii="仿宋_GB2312" w:hAnsi="仿宋_GB2312" w:eastAsia="仿宋_GB2312"/>
          <w:sz w:val="32"/>
          <w:szCs w:val="22"/>
        </w:rPr>
        <w:t>额50%核定额度，原则上不超过1000万元；</w:t>
      </w:r>
    </w:p>
    <w:p>
      <w:pPr>
        <w:pStyle w:val="5"/>
        <w:spacing w:line="54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rPr>
        <w:t>4</w:t>
      </w:r>
      <w:r>
        <w:rPr>
          <w:rFonts w:hint="eastAsia" w:ascii="仿宋_GB2312" w:hAnsi="仿宋_GB2312" w:eastAsia="仿宋_GB2312"/>
          <w:sz w:val="32"/>
          <w:szCs w:val="22"/>
          <w:lang w:val="en-US" w:eastAsia="zh-CN"/>
        </w:rPr>
        <w:t>.</w:t>
      </w:r>
      <w:r>
        <w:rPr>
          <w:rFonts w:hint="eastAsia" w:ascii="仿宋_GB2312" w:hAnsi="仿宋_GB2312" w:eastAsia="仿宋_GB2312"/>
          <w:sz w:val="32"/>
          <w:szCs w:val="22"/>
        </w:rPr>
        <w:t>授信期限：综合授信期限3年，额度项下期限为6个月；每季度提款一次，循环使用；</w:t>
      </w:r>
    </w:p>
    <w:p>
      <w:pPr>
        <w:pStyle w:val="5"/>
        <w:spacing w:line="54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rPr>
        <w:t>5</w:t>
      </w:r>
      <w:r>
        <w:rPr>
          <w:rFonts w:hint="eastAsia" w:ascii="仿宋_GB2312" w:hAnsi="仿宋_GB2312" w:eastAsia="仿宋_GB2312"/>
          <w:sz w:val="32"/>
          <w:szCs w:val="22"/>
          <w:lang w:val="en-US" w:eastAsia="zh-CN"/>
        </w:rPr>
        <w:t>.</w:t>
      </w:r>
      <w:r>
        <w:rPr>
          <w:rFonts w:hint="eastAsia" w:ascii="仿宋_GB2312" w:hAnsi="仿宋_GB2312" w:eastAsia="仿宋_GB2312"/>
          <w:sz w:val="32"/>
          <w:szCs w:val="22"/>
        </w:rPr>
        <w:t>担保方式：实际控制人担保；</w:t>
      </w:r>
    </w:p>
    <w:p>
      <w:pPr>
        <w:pStyle w:val="5"/>
        <w:spacing w:line="54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rPr>
        <w:t>6</w:t>
      </w:r>
      <w:r>
        <w:rPr>
          <w:rFonts w:hint="eastAsia" w:ascii="仿宋_GB2312" w:hAnsi="仿宋_GB2312" w:eastAsia="仿宋_GB2312"/>
          <w:sz w:val="32"/>
          <w:szCs w:val="22"/>
          <w:lang w:val="en-US" w:eastAsia="zh-CN"/>
        </w:rPr>
        <w:t>.</w:t>
      </w:r>
      <w:r>
        <w:rPr>
          <w:rFonts w:hint="eastAsia" w:ascii="仿宋_GB2312" w:hAnsi="仿宋_GB2312" w:eastAsia="仿宋_GB2312"/>
          <w:sz w:val="32"/>
          <w:szCs w:val="22"/>
        </w:rPr>
        <w:t>贷款用途：支付借款人单位员工工资、奖金等；</w:t>
      </w:r>
    </w:p>
    <w:p>
      <w:pPr>
        <w:pStyle w:val="5"/>
        <w:spacing w:line="540" w:lineRule="exact"/>
        <w:ind w:firstLine="640" w:firstLineChars="200"/>
        <w:rPr>
          <w:rFonts w:hint="eastAsia" w:ascii="仿宋_GB2312" w:hAnsi="仿宋_GB2312" w:eastAsia="仿宋_GB2312"/>
          <w:sz w:val="32"/>
          <w:szCs w:val="22"/>
          <w:lang w:eastAsia="zh-CN"/>
        </w:rPr>
      </w:pPr>
      <w:r>
        <w:rPr>
          <w:rFonts w:hint="eastAsia" w:ascii="仿宋_GB2312" w:hAnsi="仿宋_GB2312" w:eastAsia="仿宋_GB2312"/>
          <w:sz w:val="32"/>
          <w:szCs w:val="22"/>
        </w:rPr>
        <w:t>7</w:t>
      </w:r>
      <w:r>
        <w:rPr>
          <w:rFonts w:hint="eastAsia" w:ascii="仿宋_GB2312" w:hAnsi="仿宋_GB2312" w:eastAsia="仿宋_GB2312"/>
          <w:sz w:val="32"/>
          <w:szCs w:val="22"/>
          <w:lang w:val="en-US" w:eastAsia="zh-CN"/>
        </w:rPr>
        <w:t>.</w:t>
      </w:r>
      <w:r>
        <w:rPr>
          <w:rFonts w:hint="eastAsia" w:ascii="仿宋_GB2312" w:hAnsi="仿宋_GB2312" w:eastAsia="仿宋_GB2312"/>
          <w:sz w:val="32"/>
          <w:szCs w:val="22"/>
        </w:rPr>
        <w:t>贷款利率：贷款利率执行浮动利率</w:t>
      </w:r>
      <w:r>
        <w:rPr>
          <w:rFonts w:hint="eastAsia" w:ascii="仿宋_GB2312" w:hAnsi="仿宋_GB2312" w:eastAsia="仿宋_GB2312"/>
          <w:sz w:val="32"/>
          <w:szCs w:val="22"/>
          <w:lang w:eastAsia="zh-CN"/>
        </w:rPr>
        <w:t>；</w:t>
      </w:r>
    </w:p>
    <w:p>
      <w:pPr>
        <w:pStyle w:val="5"/>
        <w:spacing w:line="54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rPr>
        <w:t>8</w:t>
      </w:r>
      <w:r>
        <w:rPr>
          <w:rFonts w:hint="eastAsia" w:ascii="仿宋_GB2312" w:hAnsi="仿宋_GB2312" w:eastAsia="仿宋_GB2312"/>
          <w:sz w:val="32"/>
          <w:szCs w:val="22"/>
          <w:lang w:val="en-US" w:eastAsia="zh-CN"/>
        </w:rPr>
        <w:t>.</w:t>
      </w:r>
      <w:r>
        <w:rPr>
          <w:rFonts w:hint="eastAsia" w:ascii="仿宋_GB2312" w:hAnsi="仿宋_GB2312" w:eastAsia="仿宋_GB2312"/>
          <w:sz w:val="32"/>
          <w:szCs w:val="22"/>
        </w:rPr>
        <w:t>放款前落实条件：1、签署我行薪资代发协议，员工在我行开立代发工资卡；2、落实借款人收费账户开至我行；</w:t>
      </w:r>
    </w:p>
    <w:p>
      <w:pPr>
        <w:pStyle w:val="5"/>
        <w:spacing w:line="54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rPr>
        <w:t>9</w:t>
      </w:r>
      <w:r>
        <w:rPr>
          <w:rFonts w:hint="eastAsia" w:ascii="仿宋_GB2312" w:hAnsi="仿宋_GB2312" w:eastAsia="仿宋_GB2312"/>
          <w:sz w:val="32"/>
          <w:szCs w:val="22"/>
          <w:lang w:val="en-US" w:eastAsia="zh-CN"/>
        </w:rPr>
        <w:t>.</w:t>
      </w:r>
      <w:r>
        <w:rPr>
          <w:rFonts w:hint="eastAsia" w:ascii="仿宋_GB2312" w:hAnsi="仿宋_GB2312" w:eastAsia="仿宋_GB2312"/>
          <w:sz w:val="32"/>
          <w:szCs w:val="22"/>
        </w:rPr>
        <w:t>还款方式：按季提款，每次提款金额不超本季度计划薪资发放总额。</w:t>
      </w:r>
    </w:p>
    <w:p>
      <w:pPr>
        <w:pStyle w:val="5"/>
        <w:spacing w:line="540" w:lineRule="exact"/>
        <w:ind w:firstLine="640" w:firstLineChars="200"/>
        <w:rPr>
          <w:rFonts w:ascii="楷体_GB2312" w:hAnsi="楷体_GB2312" w:eastAsia="楷体_GB2312"/>
          <w:sz w:val="32"/>
          <w:szCs w:val="22"/>
        </w:rPr>
      </w:pPr>
      <w:r>
        <w:rPr>
          <w:rFonts w:hint="eastAsia" w:ascii="楷体_GB2312" w:hAnsi="楷体_GB2312" w:eastAsia="楷体_GB2312"/>
          <w:sz w:val="32"/>
          <w:szCs w:val="22"/>
        </w:rPr>
        <w:t>（四）专属服务支持</w:t>
      </w:r>
    </w:p>
    <w:p>
      <w:pPr>
        <w:pStyle w:val="5"/>
        <w:spacing w:line="540" w:lineRule="exact"/>
        <w:ind w:firstLine="643" w:firstLineChars="200"/>
        <w:rPr>
          <w:rFonts w:ascii="仿宋_GB2312" w:hAnsi="仿宋_GB2312" w:eastAsia="仿宋_GB2312"/>
          <w:sz w:val="32"/>
          <w:szCs w:val="22"/>
        </w:rPr>
      </w:pPr>
      <w:r>
        <w:rPr>
          <w:rFonts w:hint="eastAsia" w:ascii="仿宋_GB2312" w:hAnsi="仿宋_GB2312" w:eastAsia="仿宋_GB2312"/>
          <w:b/>
          <w:bCs/>
          <w:sz w:val="32"/>
          <w:szCs w:val="22"/>
        </w:rPr>
        <w:t>绿色通道审批</w:t>
      </w:r>
      <w:r>
        <w:rPr>
          <w:rFonts w:hint="eastAsia" w:ascii="仿宋_GB2312" w:hAnsi="仿宋_GB2312" w:eastAsia="仿宋_GB2312"/>
          <w:sz w:val="32"/>
          <w:szCs w:val="22"/>
        </w:rPr>
        <w:t>：对办理上述融资产品的客户，将实施绿色审批通道模式，贷款客户优先受理、优先审批、切实提升客户授信审批效率。</w:t>
      </w:r>
    </w:p>
    <w:p>
      <w:pPr>
        <w:pStyle w:val="5"/>
        <w:spacing w:line="540" w:lineRule="exact"/>
        <w:ind w:firstLine="643" w:firstLineChars="200"/>
        <w:rPr>
          <w:rFonts w:ascii="仿宋_GB2312" w:hAnsi="仿宋_GB2312" w:eastAsia="仿宋_GB2312"/>
          <w:sz w:val="32"/>
          <w:szCs w:val="22"/>
        </w:rPr>
      </w:pPr>
      <w:r>
        <w:rPr>
          <w:rFonts w:hint="eastAsia" w:ascii="仿宋_GB2312" w:hAnsi="仿宋_GB2312" w:eastAsia="仿宋_GB2312"/>
          <w:b/>
          <w:bCs/>
          <w:sz w:val="32"/>
          <w:szCs w:val="22"/>
        </w:rPr>
        <w:t>降低客户成本</w:t>
      </w:r>
      <w:r>
        <w:rPr>
          <w:rFonts w:hint="eastAsia" w:ascii="仿宋_GB2312" w:hAnsi="仿宋_GB2312" w:eastAsia="仿宋_GB2312"/>
          <w:sz w:val="32"/>
          <w:szCs w:val="22"/>
        </w:rPr>
        <w:t>：对于满足条件的企业可享受优惠政策，进一步增强企业信贷优惠力度。</w:t>
      </w:r>
    </w:p>
    <w:p>
      <w:pPr>
        <w:pStyle w:val="5"/>
        <w:spacing w:line="540" w:lineRule="exact"/>
        <w:ind w:firstLine="643" w:firstLineChars="200"/>
        <w:rPr>
          <w:rFonts w:ascii="仿宋_GB2312" w:hAnsi="仿宋_GB2312" w:eastAsia="仿宋_GB2312"/>
          <w:sz w:val="32"/>
          <w:szCs w:val="22"/>
        </w:rPr>
      </w:pPr>
      <w:r>
        <w:rPr>
          <w:rFonts w:hint="eastAsia" w:ascii="仿宋_GB2312" w:hAnsi="仿宋_GB2312" w:eastAsia="仿宋_GB2312"/>
          <w:b/>
          <w:bCs/>
          <w:sz w:val="32"/>
          <w:szCs w:val="22"/>
        </w:rPr>
        <w:t>配套金融服务</w:t>
      </w:r>
      <w:r>
        <w:rPr>
          <w:rFonts w:hint="eastAsia" w:ascii="仿宋_GB2312" w:hAnsi="仿宋_GB2312" w:eastAsia="仿宋_GB2312"/>
          <w:sz w:val="32"/>
          <w:szCs w:val="22"/>
        </w:rPr>
        <w:t>：为企业提供代发工资、网络银行线上服务、减免业务费用等差别化服务。</w:t>
      </w:r>
    </w:p>
    <w:p>
      <w:pPr>
        <w:pStyle w:val="5"/>
        <w:spacing w:line="540" w:lineRule="exact"/>
        <w:rPr>
          <w:rFonts w:ascii="仿宋_GB2312" w:hAnsi="仿宋_GB2312" w:eastAsia="仿宋_GB2312"/>
          <w:sz w:val="32"/>
          <w:szCs w:val="22"/>
        </w:rPr>
      </w:pPr>
    </w:p>
    <w:p>
      <w:pPr>
        <w:pStyle w:val="5"/>
        <w:spacing w:line="540" w:lineRule="exact"/>
        <w:ind w:firstLine="646"/>
        <w:rPr>
          <w:rFonts w:ascii="仿宋_GB2312" w:hAnsi="仿宋_GB2312" w:eastAsia="仿宋_GB2312"/>
          <w:sz w:val="32"/>
          <w:szCs w:val="22"/>
        </w:rPr>
      </w:pPr>
    </w:p>
    <w:p>
      <w:pPr>
        <w:pStyle w:val="5"/>
        <w:spacing w:line="540" w:lineRule="exact"/>
        <w:ind w:firstLine="646"/>
        <w:rPr>
          <w:rFonts w:ascii="仿宋_GB2312" w:hAnsi="仿宋_GB2312" w:eastAsia="仿宋_GB2312"/>
          <w:sz w:val="32"/>
          <w:szCs w:val="22"/>
        </w:rPr>
      </w:pPr>
    </w:p>
    <w:p>
      <w:pPr>
        <w:pStyle w:val="5"/>
        <w:spacing w:line="480" w:lineRule="exact"/>
        <w:textAlignment w:val="center"/>
        <w:rPr>
          <w:rFonts w:ascii="仿宋_GB2312" w:hAnsi="宋体" w:eastAsia="仿宋_GB2312" w:cs="仿宋_GB2312"/>
          <w:color w:val="000000"/>
          <w:kern w:val="0"/>
          <w:sz w:val="24"/>
          <w:szCs w:val="24"/>
          <w:highlight w:val="none"/>
        </w:rPr>
      </w:pPr>
      <w:r>
        <w:rPr>
          <w:rFonts w:hint="eastAsia" w:ascii="黑体" w:hAnsi="黑体" w:eastAsia="黑体" w:cs="黑体"/>
          <w:color w:val="000000"/>
          <w:kern w:val="0"/>
          <w:sz w:val="28"/>
          <w:szCs w:val="28"/>
          <w:highlight w:val="none"/>
        </w:rPr>
        <w:t>附表</w:t>
      </w:r>
    </w:p>
    <w:p>
      <w:pPr>
        <w:pStyle w:val="5"/>
        <w:spacing w:line="480" w:lineRule="exact"/>
        <w:textAlignment w:val="center"/>
        <w:rPr>
          <w:rFonts w:ascii="仿宋_GB2312" w:hAnsi="宋体" w:eastAsia="仿宋_GB2312" w:cs="仿宋_GB2312"/>
          <w:color w:val="000000"/>
          <w:kern w:val="0"/>
          <w:sz w:val="24"/>
          <w:szCs w:val="24"/>
          <w:highlight w:val="none"/>
        </w:rPr>
      </w:pPr>
    </w:p>
    <w:p>
      <w:pPr>
        <w:pStyle w:val="5"/>
        <w:spacing w:line="660" w:lineRule="exact"/>
        <w:jc w:val="center"/>
        <w:textAlignment w:val="center"/>
        <w:rPr>
          <w:rFonts w:ascii="方正小标宋简体" w:hAnsi="方正小标宋简体" w:eastAsia="方正小标宋简体" w:cs="仿宋_GB2312"/>
          <w:color w:val="000000"/>
          <w:kern w:val="0"/>
          <w:sz w:val="44"/>
          <w:szCs w:val="32"/>
          <w:highlight w:val="none"/>
        </w:rPr>
      </w:pPr>
      <w:r>
        <w:rPr>
          <w:rFonts w:hint="eastAsia" w:ascii="方正小标宋简体" w:hAnsi="方正小标宋简体" w:eastAsia="方正小标宋简体" w:cs="仿宋_GB2312"/>
          <w:color w:val="000000"/>
          <w:kern w:val="0"/>
          <w:sz w:val="44"/>
          <w:szCs w:val="32"/>
          <w:highlight w:val="none"/>
        </w:rPr>
        <w:t>佛山各区光大银行主要对接人名单</w:t>
      </w:r>
    </w:p>
    <w:p>
      <w:pPr>
        <w:pStyle w:val="5"/>
        <w:jc w:val="center"/>
        <w:textAlignment w:val="center"/>
        <w:rPr>
          <w:rFonts w:ascii="方正小标宋简体" w:hAnsi="方正小标宋简体" w:eastAsia="方正小标宋简体" w:cs="仿宋_GB2312"/>
          <w:color w:val="000000"/>
          <w:kern w:val="0"/>
          <w:sz w:val="32"/>
          <w:szCs w:val="22"/>
          <w:highlight w:val="none"/>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2"/>
        <w:gridCol w:w="2220"/>
        <w:gridCol w:w="1532"/>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rPr>
                <w:rFonts w:ascii="宋体" w:hAnsi="宋体" w:cs="宋体"/>
                <w:b/>
                <w:bCs/>
                <w:color w:val="000000"/>
                <w:kern w:val="0"/>
                <w:sz w:val="22"/>
                <w:highlight w:val="none"/>
              </w:rPr>
            </w:pPr>
            <w:r>
              <w:rPr>
                <w:rFonts w:hint="eastAsia" w:ascii="宋体" w:hAnsi="宋体" w:cs="宋体"/>
                <w:b/>
                <w:bCs/>
                <w:color w:val="000000"/>
                <w:kern w:val="0"/>
                <w:sz w:val="22"/>
                <w:highlight w:val="none"/>
              </w:rPr>
              <w:t>序号</w:t>
            </w:r>
          </w:p>
        </w:tc>
        <w:tc>
          <w:tcPr>
            <w:tcW w:w="222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rPr>
                <w:rFonts w:ascii="宋体" w:hAnsi="宋体" w:cs="宋体"/>
                <w:b/>
                <w:bCs/>
                <w:color w:val="000000"/>
                <w:kern w:val="0"/>
                <w:sz w:val="22"/>
                <w:highlight w:val="none"/>
              </w:rPr>
            </w:pPr>
            <w:r>
              <w:rPr>
                <w:rFonts w:hint="eastAsia" w:ascii="宋体" w:hAnsi="宋体" w:cs="宋体"/>
                <w:b/>
                <w:bCs/>
                <w:color w:val="000000"/>
                <w:kern w:val="0"/>
                <w:sz w:val="22"/>
                <w:highlight w:val="none"/>
              </w:rPr>
              <w:t>部门/支行</w:t>
            </w:r>
          </w:p>
        </w:tc>
        <w:tc>
          <w:tcPr>
            <w:tcW w:w="153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rPr>
                <w:rFonts w:ascii="宋体" w:hAnsi="宋体" w:cs="宋体"/>
                <w:b/>
                <w:bCs/>
                <w:color w:val="000000"/>
                <w:kern w:val="0"/>
                <w:sz w:val="22"/>
                <w:highlight w:val="none"/>
              </w:rPr>
            </w:pPr>
            <w:r>
              <w:rPr>
                <w:rFonts w:ascii="宋体" w:hAnsi="宋体" w:cs="宋体"/>
                <w:b/>
                <w:bCs/>
                <w:color w:val="000000"/>
                <w:kern w:val="0"/>
                <w:sz w:val="22"/>
                <w:highlight w:val="none"/>
              </w:rPr>
              <w:t>联系人</w:t>
            </w:r>
          </w:p>
        </w:tc>
        <w:tc>
          <w:tcPr>
            <w:tcW w:w="181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rPr>
                <w:rFonts w:ascii="宋体" w:hAnsi="宋体" w:cs="宋体"/>
                <w:b/>
                <w:bCs/>
                <w:color w:val="000000"/>
                <w:kern w:val="0"/>
                <w:sz w:val="22"/>
                <w:highlight w:val="none"/>
              </w:rPr>
            </w:pPr>
            <w:r>
              <w:rPr>
                <w:rFonts w:ascii="宋体" w:hAnsi="宋体" w:cs="宋体"/>
                <w:b/>
                <w:bCs/>
                <w:color w:val="000000"/>
                <w:kern w:val="0"/>
                <w:sz w:val="22"/>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21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1</w:t>
            </w:r>
          </w:p>
        </w:tc>
        <w:tc>
          <w:tcPr>
            <w:tcW w:w="2220" w:type="dxa"/>
            <w:tcBorders>
              <w:top w:val="nil"/>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金融市场部</w:t>
            </w:r>
          </w:p>
        </w:tc>
        <w:tc>
          <w:tcPr>
            <w:tcW w:w="1532" w:type="dxa"/>
            <w:tcBorders>
              <w:top w:val="nil"/>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吴</w:t>
            </w:r>
            <w:r>
              <w:rPr>
                <w:rFonts w:ascii="仿宋_GB2312" w:hAnsi="宋体" w:eastAsia="仿宋_GB2312" w:cs="仿宋_GB2312"/>
                <w:color w:val="000000"/>
                <w:kern w:val="0"/>
                <w:sz w:val="24"/>
                <w:szCs w:val="24"/>
                <w:highlight w:val="none"/>
              </w:rPr>
              <w:t>先生</w:t>
            </w:r>
          </w:p>
        </w:tc>
        <w:tc>
          <w:tcPr>
            <w:tcW w:w="1813" w:type="dxa"/>
            <w:tcBorders>
              <w:top w:val="nil"/>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ascii="仿宋_GB2312" w:hAnsi="宋体" w:eastAsia="仿宋_GB2312" w:cs="仿宋_GB2312"/>
                <w:color w:val="000000"/>
                <w:sz w:val="24"/>
                <w:szCs w:val="24"/>
                <w:highlight w:val="none"/>
              </w:rPr>
              <w:t>13702544971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21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2</w:t>
            </w:r>
          </w:p>
        </w:tc>
        <w:tc>
          <w:tcPr>
            <w:tcW w:w="2220" w:type="dxa"/>
            <w:tcBorders>
              <w:top w:val="nil"/>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金融市场部</w:t>
            </w:r>
          </w:p>
        </w:tc>
        <w:tc>
          <w:tcPr>
            <w:tcW w:w="1532" w:type="dxa"/>
            <w:tcBorders>
              <w:top w:val="nil"/>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陈</w:t>
            </w:r>
            <w:r>
              <w:rPr>
                <w:rFonts w:ascii="仿宋_GB2312" w:hAnsi="宋体" w:eastAsia="仿宋_GB2312" w:cs="仿宋_GB2312"/>
                <w:color w:val="000000"/>
                <w:kern w:val="0"/>
                <w:sz w:val="24"/>
                <w:szCs w:val="24"/>
                <w:highlight w:val="none"/>
              </w:rPr>
              <w:t>先生</w:t>
            </w:r>
          </w:p>
        </w:tc>
        <w:tc>
          <w:tcPr>
            <w:tcW w:w="1813" w:type="dxa"/>
            <w:tcBorders>
              <w:top w:val="nil"/>
              <w:left w:val="nil"/>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ascii="仿宋_GB2312" w:hAnsi="宋体" w:eastAsia="仿宋_GB2312" w:cs="仿宋_GB2312"/>
                <w:color w:val="000000"/>
                <w:sz w:val="24"/>
                <w:szCs w:val="24"/>
                <w:highlight w:val="none"/>
              </w:rPr>
              <w:t>13902808249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sz w:val="24"/>
                <w:szCs w:val="24"/>
                <w:highlight w:val="none"/>
              </w:rPr>
              <w:t>3</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公司业务一部</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hint="eastAsia" w:ascii="仿宋_GB2312" w:hAnsi="宋体" w:eastAsia="仿宋_GB2312" w:cs="仿宋_GB2312"/>
                <w:color w:val="000000"/>
                <w:kern w:val="0"/>
                <w:sz w:val="24"/>
                <w:szCs w:val="24"/>
                <w:highlight w:val="none"/>
              </w:rPr>
              <w:t>谭小姐</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sz w:val="24"/>
                <w:szCs w:val="24"/>
                <w:highlight w:val="none"/>
              </w:rPr>
            </w:pPr>
            <w:r>
              <w:rPr>
                <w:rFonts w:ascii="仿宋_GB2312" w:hAnsi="宋体" w:eastAsia="仿宋_GB2312" w:cs="仿宋_GB2312"/>
                <w:color w:val="000000"/>
                <w:sz w:val="24"/>
                <w:szCs w:val="24"/>
                <w:highlight w:val="none"/>
              </w:rPr>
              <w:t>18927799080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4</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分行营业部</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李先生</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13922463355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5</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禅城支行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刘先生</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13925490678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6</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顺德支行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胡先生</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13925135757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7</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大沥支行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徐先生</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13902840777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8</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容桂支行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李先生</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13929912798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9</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南庄支行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古小姐</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13809817833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10</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三水支行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黄先生</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13923159998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11</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乐从支行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关小姐</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13612470178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12</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里水支行</w:t>
            </w:r>
          </w:p>
        </w:tc>
        <w:tc>
          <w:tcPr>
            <w:tcW w:w="15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hint="eastAsia" w:ascii="仿宋_GB2312" w:hAnsi="宋体" w:eastAsia="仿宋_GB2312" w:cs="仿宋_GB2312"/>
                <w:color w:val="000000"/>
                <w:kern w:val="0"/>
                <w:sz w:val="24"/>
                <w:szCs w:val="24"/>
                <w:highlight w:val="none"/>
              </w:rPr>
              <w:t>吉小姐</w:t>
            </w:r>
          </w:p>
        </w:tc>
        <w:tc>
          <w:tcPr>
            <w:tcW w:w="1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5"/>
              <w:widowControl/>
              <w:jc w:val="center"/>
              <w:textAlignment w:val="center"/>
              <w:rPr>
                <w:rFonts w:ascii="仿宋_GB2312" w:hAnsi="宋体" w:eastAsia="仿宋_GB2312" w:cs="仿宋_GB2312"/>
                <w:color w:val="000000"/>
                <w:kern w:val="0"/>
                <w:sz w:val="24"/>
                <w:szCs w:val="24"/>
                <w:highlight w:val="none"/>
              </w:rPr>
            </w:pPr>
            <w:r>
              <w:rPr>
                <w:rFonts w:ascii="仿宋_GB2312" w:hAnsi="宋体" w:eastAsia="仿宋_GB2312" w:cs="仿宋_GB2312"/>
                <w:color w:val="000000"/>
                <w:kern w:val="0"/>
                <w:sz w:val="24"/>
                <w:szCs w:val="24"/>
                <w:highlight w:val="none"/>
              </w:rPr>
              <w:t>18002239868</w:t>
            </w:r>
          </w:p>
        </w:tc>
      </w:tr>
    </w:tbl>
    <w:p>
      <w:pPr>
        <w:pStyle w:val="5"/>
        <w:spacing w:line="560" w:lineRule="exact"/>
        <w:ind w:firstLine="640" w:firstLineChars="200"/>
        <w:rPr>
          <w:rFonts w:ascii="仿宋_GB2312" w:hAnsi="仿宋_GB2312" w:eastAsia="仿宋_GB2312"/>
          <w:sz w:val="32"/>
          <w:szCs w:val="22"/>
          <w:highlight w:val="none"/>
        </w:rPr>
      </w:pPr>
    </w:p>
    <w:p>
      <w:pPr>
        <w:pStyle w:val="5"/>
        <w:spacing w:line="560" w:lineRule="exact"/>
        <w:rPr>
          <w:rFonts w:hint="eastAsia" w:ascii="仿宋_GB2312" w:hAnsi="仿宋_GB2312" w:eastAsia="仿宋_GB2312" w:cs="仿宋_GB2312"/>
          <w:bCs/>
          <w:sz w:val="32"/>
          <w:szCs w:val="32"/>
        </w:rPr>
      </w:pPr>
    </w:p>
    <w:p>
      <w:pPr>
        <w:pStyle w:val="5"/>
        <w:spacing w:line="560" w:lineRule="exact"/>
        <w:rPr>
          <w:rFonts w:hint="eastAsia" w:ascii="仿宋_GB2312" w:hAnsi="仿宋_GB2312" w:eastAsia="仿宋_GB2312" w:cs="仿宋_GB2312"/>
          <w:bCs/>
          <w:sz w:val="32"/>
          <w:szCs w:val="32"/>
        </w:rPr>
      </w:pPr>
    </w:p>
    <w:p>
      <w:pPr>
        <w:pStyle w:val="5"/>
        <w:spacing w:line="560" w:lineRule="exact"/>
        <w:rPr>
          <w:rFonts w:hint="eastAsia" w:ascii="仿宋_GB2312" w:hAnsi="仿宋_GB2312" w:eastAsia="仿宋_GB2312" w:cs="仿宋_GB2312"/>
          <w:bCs/>
          <w:sz w:val="32"/>
          <w:szCs w:val="32"/>
        </w:rPr>
      </w:pPr>
    </w:p>
    <w:p>
      <w:pPr>
        <w:pStyle w:val="5"/>
        <w:spacing w:line="560" w:lineRule="exact"/>
        <w:rPr>
          <w:rFonts w:hint="eastAsia" w:ascii="仿宋_GB2312" w:hAnsi="仿宋_GB2312" w:eastAsia="仿宋_GB2312" w:cs="仿宋_GB2312"/>
          <w:bCs/>
          <w:sz w:val="32"/>
          <w:szCs w:val="32"/>
        </w:rPr>
      </w:pPr>
    </w:p>
    <w:p>
      <w:pPr>
        <w:pStyle w:val="5"/>
        <w:spacing w:line="560" w:lineRule="exact"/>
        <w:rPr>
          <w:rFonts w:hint="eastAsia" w:ascii="仿宋_GB2312" w:hAnsi="仿宋_GB2312" w:eastAsia="仿宋_GB2312" w:cs="仿宋_GB2312"/>
          <w:bCs/>
          <w:sz w:val="32"/>
          <w:szCs w:val="32"/>
        </w:rPr>
      </w:pPr>
    </w:p>
    <w:p>
      <w:pPr>
        <w:pStyle w:val="5"/>
        <w:spacing w:line="560" w:lineRule="exact"/>
        <w:rPr>
          <w:rFonts w:hint="eastAsia" w:ascii="仿宋_GB2312" w:hAnsi="仿宋_GB2312" w:eastAsia="仿宋_GB2312" w:cs="仿宋_GB2312"/>
          <w:bCs/>
          <w:sz w:val="32"/>
          <w:szCs w:val="32"/>
        </w:rPr>
      </w:pPr>
    </w:p>
    <w:p>
      <w:pPr>
        <w:spacing w:line="580" w:lineRule="exact"/>
        <w:jc w:val="center"/>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C521D"/>
    <w:rsid w:val="254C5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w:uiPriority w:val="0"/>
    <w:pPr>
      <w:widowControl w:val="0"/>
      <w:jc w:val="both"/>
    </w:pPr>
    <w:rPr>
      <w:rFonts w:ascii="Calibri" w:hAnsi="Calibri" w:eastAsia="宋体" w:cs="黑体"/>
      <w:kern w:val="2"/>
      <w:sz w:val="21"/>
      <w:szCs w:val="22"/>
      <w:lang w:val="en-US" w:eastAsia="zh-CN"/>
    </w:rPr>
  </w:style>
  <w:style w:type="paragraph" w:customStyle="1" w:styleId="5">
    <w:name w:val="正文 New"/>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2020-06-11T07:42:00Z</dcterms:created>
  <dc:creator>liuyi</dc:creator>
  <cp:lastModifiedBy>liuyi</cp:lastModifiedBy>
  <dcterms:modified xsi:type="dcterms:W3CDTF">2020-06-11T07:43:22Z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