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  <w:highlight w:val="none"/>
          <w:lang w:val="en-US" w:eastAsia="zh-CN" w:bidi="ar-SA"/>
        </w:rPr>
        <w:t>中国银行佛山分行</w:t>
      </w:r>
      <w:bookmarkEnd w:id="0"/>
      <w:r>
        <w:rPr>
          <w:rFonts w:hint="eastAsia" w:ascii="方正小标宋简体" w:hAnsi="宋体" w:eastAsia="方正小标宋简体" w:cs="Times New Roman"/>
          <w:sz w:val="44"/>
          <w:szCs w:val="44"/>
          <w:highlight w:val="none"/>
          <w:lang w:val="en-US" w:eastAsia="zh-CN" w:bidi="ar-SA"/>
        </w:rPr>
        <w:t>支持农业农村建设服务方案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b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highlight w:val="none"/>
          <w:lang w:val="en-US" w:eastAsia="zh-CN"/>
        </w:rPr>
        <w:t>为贯彻落实金融支持“六稳”“六保”的重要精神和工作要求，中国银行佛山分行推出支持农业农村“稳预期”复工复产服务方案，加大对农业农村的金融支持力度，提供全方位金融服务。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 xml:space="preserve">一、支持领域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highlight w:val="none"/>
          <w:lang w:val="en-US" w:eastAsia="zh-CN"/>
        </w:rPr>
        <w:t>重点支持全市农、林、牧、渔等相关农业行业，推进乡村振兴及城乡融合发展战略,大力发展农村普惠金融，创新金融扶贫产品和服务方式，加大对“三农”的信贷支持。“中银惠农通宝”是中国银行专项支持农、林、牧、渔业及相关客户的信贷产品，主要服务对象包括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（一）种植、养殖业：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农作物种植、水产畜牧养殖业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（二）农产品加工业：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粮食加工、烧腊加工、水产品加工等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（三）餐饮配送业：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食材配送、饭堂承包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（四）农产品冷链物流业：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蔬菜、冻品等食材冷链物流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（五）农产品批发业：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米、油、肉内农产品批发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二、主要贷款要素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（一）贷款用途方面：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支持农业特色产品种养殖、特色农产品加工、食材配送、食材冷链物流、农产品批发等客户的流动资金贷款或固定资产贷款。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（二）贷款金额方面：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单一借款人授信总量高达3000万元。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（三）贷款期限方面：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一年短期贷款、三年中长期贷款。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（四）贷款价格方面：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比照同档期LPR实施差异化优惠了利率政策，给予普惠农业金融最优利率。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（五）还款方式方面：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贷款结息方式按季结息，偿还本金方式按情况协商确定。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（六）担保条件方面：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抵押、质押、保证、信用等多种方式。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三、专属服务支持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（一）专项贷款规模：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佛山中行拟给予全市农业行业专项融资额度，用于在中行办理上述融资产品的企业客户支用贷款，优先实施合同制作，优先进行放款审核，全力支持全市农业复工复产，扶持农业农村维持正常经营。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（二）绿色通道审批：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对办理上述融资产品农业行业客户，中国银行将实施绿色审批通道模式，优先受理、优先审批、切实提升授信审批效率，最快当天上报当天批复。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（三）改善客户分类：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对于满足条件的客户可享受行业优惠政策，进一步增强企业信贷优惠力度。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  <w:lang w:val="en-US" w:eastAsia="zh-CN"/>
        </w:rPr>
        <w:t>（四）配套服务：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快捷迅速地为相关客户提供专属的代发薪服务，并为企业个人客户免费开通电话银行、网上银行、手机银行等服务，为授信企业中高层管理者免费开立贵宾卡，提供专门理财经理“一对一”的服务，享受VIP绿色通道、汇款手续费减免、贷款利率优惠、出国金融“一站式”等多重增值服务。对股东及高管个人提供创业担保贷款金融服务产品，全力解决个人金融服务需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4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7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  <w:t>附表</w:t>
      </w:r>
    </w:p>
    <w:p>
      <w:pPr>
        <w:pStyle w:val="7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pStyle w:val="7"/>
        <w:jc w:val="center"/>
        <w:rPr>
          <w:rFonts w:hint="eastAsia" w:ascii="方正小标宋简体" w:hAnsi="方正小标宋简体" w:eastAsia="方正小标宋简体" w:cs="Times New Roman"/>
          <w:color w:val="auto"/>
          <w:kern w:val="2"/>
          <w:sz w:val="44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color w:val="auto"/>
          <w:kern w:val="2"/>
          <w:sz w:val="44"/>
          <w:szCs w:val="32"/>
          <w:highlight w:val="none"/>
          <w:lang w:val="en-US" w:eastAsia="zh-CN" w:bidi="ar-SA"/>
        </w:rPr>
        <w:t>中国银行佛山分行主要对接人名单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278"/>
        <w:gridCol w:w="1791"/>
        <w:gridCol w:w="2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部门/支行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主要对接人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普惠金融事业部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马泽群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82683260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普惠金融事业部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冯健海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82683497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普惠金融事业部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黄祺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82683262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分行营业部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唐嘉辉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82683749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南海支行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廖丽萍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86338977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西樵支行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周广波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86856190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大沥支行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林咏红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85573320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黄岐支行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陈锐昌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85918030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里水支行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袁炽雄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85689359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狮山支行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李锐波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81779318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三水支行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梁维健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87727999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高明支行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黄志文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88983663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南庄支行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冼兆广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85397365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石湾支行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余广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82029028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汾江支行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张建麟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82029251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张槎支行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邱伟军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82029996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九江支行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黄亮初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81762717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丹灶支行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赖华彬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81848728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B6BE2"/>
    <w:rsid w:val="669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"/>
    <w:next w:val="5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customStyle="1" w:styleId="5">
    <w:name w:val="纯文本1"/>
    <w:basedOn w:val="6"/>
    <w:uiPriority w:val="0"/>
    <w:pPr>
      <w:ind w:firstLine="21" w:firstLineChars="200"/>
      <w:jc w:val="left"/>
    </w:pPr>
    <w:rPr>
      <w:rFonts w:ascii="宋体" w:hAnsi="Courier New"/>
      <w:szCs w:val="21"/>
    </w:rPr>
  </w:style>
  <w:style w:type="paragraph" w:customStyle="1" w:styleId="6">
    <w:name w:val="正文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宋体"/>
      <w:color w:val="000000"/>
      <w:sz w:val="24"/>
      <w:szCs w:val="22"/>
      <w:lang w:val="en-US" w:eastAsia="zh-CN" w:bidi="ar-SA"/>
    </w:rPr>
  </w:style>
  <w:style w:type="paragraph" w:customStyle="1" w:styleId="8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2020-06-11T02:24:00Z</dcterms:created>
  <dc:creator>liuyi</dc:creator>
  <cp:lastModifiedBy>liuyi</cp:lastModifiedBy>
  <dcterms:modified xsi:type="dcterms:W3CDTF">2020-06-11T02:33:42Z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