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黑体"/>
          <w:b w:val="0"/>
          <w:bCs w:val="0"/>
          <w:sz w:val="44"/>
          <w:szCs w:val="36"/>
          <w:highlight w:val="none"/>
        </w:rPr>
      </w:pPr>
      <w:bookmarkStart w:id="0" w:name="_GoBack"/>
      <w:r>
        <w:rPr>
          <w:rFonts w:hint="eastAsia" w:ascii="方正小标宋简体" w:hAnsi="方正小标宋简体" w:eastAsia="方正小标宋简体" w:cs="黑体"/>
          <w:b w:val="0"/>
          <w:bCs w:val="0"/>
          <w:sz w:val="44"/>
          <w:szCs w:val="36"/>
          <w:highlight w:val="none"/>
          <w:lang w:val="en-US" w:eastAsia="zh-CN"/>
        </w:rPr>
        <w:t>农业银行</w:t>
      </w:r>
      <w:r>
        <w:rPr>
          <w:rFonts w:hint="eastAsia" w:ascii="方正小标宋简体" w:hAnsi="方正小标宋简体" w:eastAsia="方正小标宋简体" w:cs="黑体"/>
          <w:b w:val="0"/>
          <w:bCs w:val="0"/>
          <w:sz w:val="44"/>
          <w:szCs w:val="36"/>
          <w:highlight w:val="none"/>
          <w:lang w:eastAsia="zh-CN"/>
        </w:rPr>
        <w:t>佛山分行</w:t>
      </w:r>
      <w:bookmarkEnd w:id="0"/>
      <w:r>
        <w:rPr>
          <w:rFonts w:hint="eastAsia" w:ascii="方正小标宋简体" w:hAnsi="方正小标宋简体" w:eastAsia="方正小标宋简体" w:cs="黑体"/>
          <w:b w:val="0"/>
          <w:bCs w:val="0"/>
          <w:sz w:val="44"/>
          <w:szCs w:val="36"/>
          <w:highlight w:val="none"/>
          <w:lang w:eastAsia="zh-CN"/>
        </w:rPr>
        <w:t>支持</w:t>
      </w:r>
      <w:r>
        <w:rPr>
          <w:rFonts w:hint="eastAsia" w:ascii="方正小标宋简体" w:hAnsi="方正小标宋简体" w:eastAsia="方正小标宋简体" w:cs="黑体"/>
          <w:b w:val="0"/>
          <w:bCs w:val="0"/>
          <w:sz w:val="44"/>
          <w:szCs w:val="36"/>
          <w:highlight w:val="none"/>
          <w:lang w:val="en-US" w:eastAsia="zh-CN"/>
        </w:rPr>
        <w:t>农业农村建设</w:t>
      </w:r>
      <w:r>
        <w:rPr>
          <w:rFonts w:hint="eastAsia" w:ascii="方正小标宋简体" w:hAnsi="方正小标宋简体" w:eastAsia="方正小标宋简体" w:cs="黑体"/>
          <w:b w:val="0"/>
          <w:bCs w:val="0"/>
          <w:sz w:val="44"/>
          <w:szCs w:val="36"/>
          <w:highlight w:val="none"/>
          <w:lang w:eastAsia="zh-CN"/>
        </w:rPr>
        <w:t>服务方案</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sz w:val="32"/>
          <w:szCs w:val="32"/>
          <w:highlight w:val="none"/>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根据佛山市政府提出的乡村振兴工作规划，完善美丽乡村建设，我行制定了对村居改造提供专项融资产品组合—“村级工业园改造”、“村居物业租金抵押贷款”等服务方案。</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30" w:firstLineChars="0"/>
        <w:textAlignment w:val="auto"/>
        <w:outlineLvl w:val="9"/>
        <w:rPr>
          <w:rFonts w:hint="eastAsia" w:ascii="黑体" w:hAnsi="宋体" w:eastAsia="黑体"/>
          <w:sz w:val="32"/>
          <w:szCs w:val="32"/>
          <w:highlight w:val="none"/>
        </w:rPr>
      </w:pPr>
      <w:r>
        <w:rPr>
          <w:rFonts w:hint="eastAsia" w:ascii="黑体" w:hAnsi="宋体" w:eastAsia="黑体"/>
          <w:sz w:val="32"/>
          <w:szCs w:val="32"/>
          <w:highlight w:val="none"/>
        </w:rPr>
        <w:t>一、支持领域</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重点支持佛山市政府相关部门确认或前期经三旧改造程序审批后纳入村居改造项目，融资主体包括：改造项目投资企事业法人、村(居)股份合作经济联合社或国家规定可以作为借款人的其他组织。支持农业农村相关企业及个人。</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30" w:firstLineChars="0"/>
        <w:textAlignment w:val="auto"/>
        <w:outlineLvl w:val="9"/>
        <w:rPr>
          <w:rFonts w:hint="eastAsia" w:ascii="黑体" w:hAnsi="宋体" w:eastAsia="黑体"/>
          <w:sz w:val="32"/>
          <w:szCs w:val="32"/>
          <w:highlight w:val="none"/>
        </w:rPr>
      </w:pPr>
      <w:r>
        <w:rPr>
          <w:rFonts w:hint="eastAsia" w:ascii="黑体" w:hAnsi="宋体" w:eastAsia="黑体"/>
          <w:sz w:val="32"/>
          <w:szCs w:val="32"/>
          <w:highlight w:val="none"/>
        </w:rPr>
        <w:t>二、主要贷款要素</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（一）贷款用途方面：</w:t>
      </w:r>
      <w:r>
        <w:rPr>
          <w:rFonts w:hint="eastAsia" w:ascii="仿宋_GB2312" w:eastAsia="仿宋_GB2312"/>
          <w:sz w:val="32"/>
          <w:highlight w:val="none"/>
          <w:lang w:val="en-US" w:eastAsia="zh-CN"/>
        </w:rPr>
        <w:t>解决用于支付村居改造项目的拆迁、补偿、安置、土地平整等前期费用，也可用于村居改造、厂房建设以及村居配套基础设施和生活设施建设等后期各项投入和费用。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（二）贷款金额方面：</w:t>
      </w:r>
      <w:r>
        <w:rPr>
          <w:rFonts w:hint="eastAsia" w:ascii="仿宋_GB2312" w:eastAsia="仿宋_GB2312"/>
          <w:sz w:val="32"/>
          <w:highlight w:val="none"/>
          <w:lang w:val="en-US" w:eastAsia="zh-CN"/>
        </w:rPr>
        <w:t>项目资金需求根据项目的实际情况合理确定，贷款金额最高不超过项目总投资的80%，项目资本金应符合国家和农业银行关于项目资本金管理规定。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（三）贷款期限方面：</w:t>
      </w:r>
      <w:r>
        <w:rPr>
          <w:rFonts w:hint="eastAsia" w:ascii="仿宋_GB2312" w:eastAsia="仿宋_GB2312"/>
          <w:sz w:val="32"/>
          <w:highlight w:val="none"/>
          <w:lang w:val="en-US" w:eastAsia="zh-CN"/>
        </w:rPr>
        <w:t>应结合项目改造规模、拆迁难易度、施工周期、市场销售等因素合理确定贷款期限。对于项目建成后出售的贷款期限最长不超过5年；对于项目建成后出租的贷款期限最长不得超过项目建设期+15年。</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（四）贷款价格方面：</w:t>
      </w:r>
      <w:r>
        <w:rPr>
          <w:rFonts w:hint="eastAsia" w:ascii="仿宋_GB2312" w:eastAsia="仿宋_GB2312"/>
          <w:sz w:val="32"/>
          <w:highlight w:val="none"/>
          <w:lang w:val="en-US" w:eastAsia="zh-CN"/>
        </w:rPr>
        <w:t>比照同档期LPR实施差异化优惠利率政策。</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（五）还款方式方面：</w:t>
      </w:r>
      <w:r>
        <w:rPr>
          <w:rFonts w:hint="eastAsia" w:ascii="仿宋_GB2312" w:eastAsia="仿宋_GB2312"/>
          <w:sz w:val="32"/>
          <w:highlight w:val="none"/>
          <w:lang w:val="en-US" w:eastAsia="zh-CN"/>
        </w:rPr>
        <w:t>贷款结息方式可按月或按季结息，还款计划可根据项目实际情况灵活设定。</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30" w:firstLineChars="0"/>
        <w:textAlignment w:val="auto"/>
        <w:outlineLvl w:val="9"/>
        <w:rPr>
          <w:rFonts w:hint="eastAsia" w:ascii="黑体" w:hAnsi="宋体" w:eastAsia="黑体"/>
          <w:sz w:val="32"/>
          <w:szCs w:val="32"/>
          <w:highlight w:val="none"/>
        </w:rPr>
      </w:pPr>
      <w:r>
        <w:rPr>
          <w:rFonts w:hint="eastAsia" w:ascii="黑体" w:hAnsi="宋体" w:eastAsia="黑体"/>
          <w:sz w:val="32"/>
          <w:szCs w:val="32"/>
          <w:highlight w:val="none"/>
        </w:rPr>
        <w:t>三、专属服务支持</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（一）专项贷款规模：</w:t>
      </w:r>
      <w:r>
        <w:rPr>
          <w:rFonts w:hint="eastAsia" w:ascii="仿宋_GB2312" w:eastAsia="仿宋_GB2312"/>
          <w:sz w:val="32"/>
          <w:highlight w:val="none"/>
          <w:lang w:val="en-US" w:eastAsia="zh-CN"/>
        </w:rPr>
        <w:t>我行将优先安排专项规模，确保满足符合授信和发放贷款条件的重点领域项目资金需求。</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（二）优先审结通道审批：</w:t>
      </w:r>
      <w:r>
        <w:rPr>
          <w:rFonts w:hint="eastAsia" w:ascii="仿宋_GB2312" w:eastAsia="仿宋_GB2312"/>
          <w:sz w:val="32"/>
          <w:highlight w:val="none"/>
          <w:lang w:val="en-US" w:eastAsia="zh-CN"/>
        </w:rPr>
        <w:t>省分行已建立优先审结通道，市分行将安排专职经理服务项目并跟进审批，确保项目的快速上报及审批通过。</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（三）支持生猪产业稳定生产：</w:t>
      </w:r>
      <w:r>
        <w:rPr>
          <w:rFonts w:hint="eastAsia" w:ascii="仿宋_GB2312" w:eastAsia="仿宋_GB2312"/>
          <w:sz w:val="32"/>
          <w:highlight w:val="none"/>
          <w:lang w:val="en-US" w:eastAsia="zh-CN"/>
        </w:rPr>
        <w:t>根据省农业、财政厅等部门关于进一步加大支持力度促进生猪稳产保供的通知要求，推动生猪产业形成高质量发展新格局，我行制定相关信贷政策，积极通过“公司+农户”、“公司+家庭农场”、“公司+合作社”等模式，提供全产业链金融服务。</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（四）惠农e贷服务：</w:t>
      </w:r>
      <w:r>
        <w:rPr>
          <w:rFonts w:hint="eastAsia" w:ascii="仿宋_GB2312" w:eastAsia="仿宋_GB2312"/>
          <w:sz w:val="32"/>
          <w:highlight w:val="none"/>
          <w:lang w:val="en-US" w:eastAsia="zh-CN"/>
        </w:rPr>
        <w:t>惠农e贷是我行运用互联网、大数据技术，批量采集内外部数据，建立数据模型，实现系统自动审批，农户快捷用信的农户贷款；惠农e贷主要支持我行房贷农户、金融资产农户的短期消费需求、特色产业农户的生产经营需求。惠农e贷是把传统金融服务与互联网大数据技术结合起来，可以从根本上解决这些问题，增强农户贷款的便利性和可得性；真正做到服务城乡、为农户解决资金周转困难的问题。</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（五）提供智慧乡村服务：</w:t>
      </w:r>
      <w:r>
        <w:rPr>
          <w:rFonts w:hint="eastAsia" w:ascii="仿宋_GB2312" w:eastAsia="仿宋_GB2312"/>
          <w:sz w:val="32"/>
          <w:highlight w:val="none"/>
          <w:lang w:val="en-US" w:eastAsia="zh-CN"/>
        </w:rPr>
        <w:t>引入“互联网+”概念，整合村居委村务管理、党务管理、惠农服务和金融服务等，提供“一站式”电子化金融服务功能，打造现代化美丽乡村；全面对接农村三资平台系统，根据村委信息化建设需求提供系统优化支持。</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（六）现金管理平台服务：</w:t>
      </w:r>
      <w:r>
        <w:rPr>
          <w:rFonts w:hint="eastAsia" w:ascii="仿宋_GB2312" w:eastAsia="仿宋_GB2312"/>
          <w:sz w:val="32"/>
          <w:highlight w:val="none"/>
          <w:lang w:val="en-US" w:eastAsia="zh-CN"/>
        </w:rPr>
        <w:t>我行可为项目公司或股东搭建现金管理平台，以有效解决企业的多银行账户管理问题、提高财务效率为目的，为企业提供高效的多银行账户管理、付款管理、资金归集、资金监控、报表统计等功能服务。</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（七）智能POS机收款：</w:t>
      </w:r>
      <w:r>
        <w:rPr>
          <w:rFonts w:hint="eastAsia" w:ascii="仿宋_GB2312" w:eastAsia="仿宋_GB2312"/>
          <w:sz w:val="32"/>
          <w:highlight w:val="none"/>
          <w:lang w:val="en-US" w:eastAsia="zh-CN"/>
        </w:rPr>
        <w:t>智能POS机功能上可以理解为聚合支付（即支持全卡种刷卡/插卡/挥卡，市场上主要二维码产品的扫码支付及Apple pay、HCE等云闪付等多种支付受理方式），同时还具有安卓系统的多应用功能、互联网通讯、云平台管理等的新一代支付终端产品。智能POS收款服务一台机具解决银行卡、二维码等各种支付产品的需求，可提供经营所需的主动营销等更多应用功能。</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（八）资本金融资服务：</w:t>
      </w:r>
      <w:r>
        <w:rPr>
          <w:rFonts w:hint="eastAsia" w:ascii="仿宋_GB2312" w:eastAsia="仿宋_GB2312"/>
          <w:sz w:val="32"/>
          <w:highlight w:val="none"/>
          <w:lang w:val="en-US" w:eastAsia="zh-CN"/>
        </w:rPr>
        <w:t>通过与我行子公司农银理财、农银国际、农银投资等子公司“行司联动”，采用理财融资、直接投资等方式解决部分重大建设项目的前期资本金缺口。</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楷体_GB2312" w:eastAsia="楷体_GB2312"/>
          <w:b w:val="0"/>
          <w:bCs/>
          <w:sz w:val="32"/>
          <w:szCs w:val="32"/>
          <w:highlight w:val="none"/>
          <w:lang w:val="en-US" w:eastAsia="zh-CN"/>
        </w:rPr>
        <w:t>（九）消费扶贫爱心信用卡：</w:t>
      </w:r>
      <w:r>
        <w:rPr>
          <w:rFonts w:hint="eastAsia" w:ascii="仿宋_GB2312" w:eastAsia="仿宋_GB2312"/>
          <w:sz w:val="32"/>
          <w:highlight w:val="none"/>
          <w:lang w:val="en-US" w:eastAsia="zh-CN"/>
        </w:rPr>
        <w:t>是省扶贫办与农业银行广东省分行、广东东西部扶贫协作产品交易市场联合推出的扶贫品牌产品，作为各级工会组织和广大消费群众在交易市场参与消费扶贫的重要渠道。</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楷体_GB2312" w:eastAsia="楷体_GB2312"/>
          <w:b w:val="0"/>
          <w:bCs/>
          <w:sz w:val="32"/>
          <w:szCs w:val="32"/>
          <w:highlight w:val="none"/>
          <w:lang w:val="en-US" w:eastAsia="zh-CN"/>
        </w:rPr>
      </w:pPr>
      <w:r>
        <w:rPr>
          <w:rFonts w:hint="eastAsia" w:ascii="楷体_GB2312" w:eastAsia="楷体_GB2312"/>
          <w:b w:val="0"/>
          <w:bCs/>
          <w:sz w:val="32"/>
          <w:szCs w:val="32"/>
          <w:highlight w:val="none"/>
          <w:lang w:val="en-US" w:eastAsia="zh-CN"/>
        </w:rPr>
        <w:t>（十）特色农业贷：</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1.高明粉葛贷：为深化三农金融服务，推动三农经济发展，高明支行结合现有“合水粉葛”特色种植农副产业的金融需求，以促进高明区特色产业的进一步发展，我行推出针对农户特色金融产品—高明粉葛贷。</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eastAsia" w:ascii="仿宋_GB2312" w:eastAsia="仿宋_GB2312"/>
          <w:sz w:val="32"/>
          <w:highlight w:val="none"/>
          <w:lang w:val="en-US" w:eastAsia="zh-CN"/>
        </w:rPr>
      </w:pPr>
      <w:r>
        <w:rPr>
          <w:rFonts w:hint="eastAsia" w:ascii="仿宋_GB2312" w:eastAsia="仿宋_GB2312"/>
          <w:sz w:val="32"/>
          <w:highlight w:val="none"/>
          <w:lang w:val="en-US" w:eastAsia="zh-CN"/>
        </w:rPr>
        <w:t>2.三水乐平雪梨瓜贷：为深化三农金融服务，推动三农经济发展，促进三水区特色产业的进一步发展，我行特设“乐平雪梨瓜贷”项目，该产品针对从事雪梨瓜产业生产经营的农户的资金需求，主要用于满足从事雪梨瓜种植、雪梨瓜产品加工、仓储和销售经营过程中的资金需求，实行线上线下多渠道申请、线上线下调查核实、系统自动审批、客户自助用款还款的业务流程，审批快捷，手续简单。</w:t>
      </w:r>
    </w:p>
    <w:p>
      <w:pPr>
        <w:pStyle w:val="4"/>
        <w:spacing w:line="480" w:lineRule="exact"/>
        <w:rPr>
          <w:rFonts w:hint="eastAsia" w:ascii="黑体" w:hAnsi="黑体" w:eastAsia="黑体" w:cs="黑体"/>
          <w:sz w:val="28"/>
          <w:szCs w:val="28"/>
          <w:highlight w:val="none"/>
          <w:lang w:eastAsia="zh-CN"/>
        </w:rPr>
      </w:pPr>
    </w:p>
    <w:p>
      <w:pPr>
        <w:pStyle w:val="4"/>
        <w:spacing w:line="480" w:lineRule="exact"/>
        <w:rPr>
          <w:rFonts w:hint="eastAsia" w:ascii="黑体" w:hAnsi="黑体" w:eastAsia="黑体" w:cs="黑体"/>
          <w:sz w:val="28"/>
          <w:szCs w:val="28"/>
          <w:highlight w:val="none"/>
          <w:lang w:eastAsia="zh-CN"/>
        </w:rPr>
      </w:pPr>
    </w:p>
    <w:p>
      <w:pPr>
        <w:pStyle w:val="7"/>
        <w:rPr>
          <w:rFonts w:hint="eastAsia" w:ascii="黑体" w:hAnsi="黑体" w:eastAsia="黑体" w:cs="黑体"/>
          <w:sz w:val="28"/>
          <w:szCs w:val="28"/>
          <w:highlight w:val="none"/>
          <w:lang w:eastAsia="zh-CN"/>
        </w:rPr>
      </w:pPr>
    </w:p>
    <w:p>
      <w:pPr>
        <w:pStyle w:val="7"/>
        <w:rPr>
          <w:rFonts w:hint="eastAsia" w:ascii="黑体" w:hAnsi="黑体" w:eastAsia="黑体" w:cs="黑体"/>
          <w:sz w:val="28"/>
          <w:szCs w:val="28"/>
          <w:highlight w:val="none"/>
          <w:lang w:eastAsia="zh-CN"/>
        </w:rPr>
      </w:pPr>
    </w:p>
    <w:p>
      <w:pPr>
        <w:pStyle w:val="7"/>
        <w:rPr>
          <w:rFonts w:hint="eastAsia" w:ascii="黑体" w:hAnsi="黑体" w:eastAsia="黑体" w:cs="黑体"/>
          <w:sz w:val="28"/>
          <w:szCs w:val="28"/>
          <w:highlight w:val="none"/>
          <w:lang w:eastAsia="zh-CN"/>
        </w:rPr>
      </w:pPr>
    </w:p>
    <w:p>
      <w:pPr>
        <w:pStyle w:val="7"/>
        <w:rPr>
          <w:rFonts w:hint="eastAsia" w:ascii="黑体" w:hAnsi="黑体" w:eastAsia="黑体" w:cs="黑体"/>
          <w:sz w:val="28"/>
          <w:szCs w:val="28"/>
          <w:highlight w:val="none"/>
          <w:lang w:eastAsia="zh-CN"/>
        </w:rPr>
      </w:pPr>
    </w:p>
    <w:p>
      <w:pPr>
        <w:pStyle w:val="7"/>
        <w:rPr>
          <w:rFonts w:hint="eastAsia" w:ascii="黑体" w:hAnsi="黑体" w:eastAsia="黑体" w:cs="黑体"/>
          <w:sz w:val="28"/>
          <w:szCs w:val="28"/>
          <w:highlight w:val="none"/>
          <w:lang w:eastAsia="zh-CN"/>
        </w:rPr>
      </w:pPr>
    </w:p>
    <w:p>
      <w:pPr>
        <w:pStyle w:val="7"/>
        <w:rPr>
          <w:rFonts w:hint="eastAsia" w:ascii="黑体" w:hAnsi="黑体" w:eastAsia="黑体" w:cs="黑体"/>
          <w:sz w:val="28"/>
          <w:szCs w:val="28"/>
          <w:highlight w:val="none"/>
          <w:lang w:eastAsia="zh-CN"/>
        </w:rPr>
      </w:pPr>
    </w:p>
    <w:p>
      <w:pPr>
        <w:pStyle w:val="4"/>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sz w:val="32"/>
          <w:szCs w:val="28"/>
          <w:highlight w:val="none"/>
          <w:lang w:eastAsia="zh-CN"/>
        </w:rPr>
      </w:pPr>
      <w:r>
        <w:rPr>
          <w:rFonts w:hint="eastAsia" w:ascii="黑体" w:hAnsi="黑体" w:eastAsia="黑体" w:cs="黑体"/>
          <w:sz w:val="32"/>
          <w:szCs w:val="28"/>
          <w:highlight w:val="none"/>
          <w:lang w:eastAsia="zh-CN"/>
        </w:rPr>
        <w:t>附表</w:t>
      </w:r>
    </w:p>
    <w:p>
      <w:pPr>
        <w:pStyle w:val="4"/>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firstLine="640" w:firstLineChars="200"/>
        <w:textAlignment w:val="auto"/>
        <w:outlineLvl w:val="9"/>
        <w:rPr>
          <w:rFonts w:hint="default" w:ascii="仿宋_GB2312" w:eastAsia="仿宋_GB2312"/>
          <w:sz w:val="32"/>
          <w:highlight w:val="none"/>
          <w:lang w:val="en-US" w:eastAsia="zh-CN"/>
        </w:rPr>
      </w:pPr>
    </w:p>
    <w:tbl>
      <w:tblPr>
        <w:tblStyle w:val="2"/>
        <w:tblpPr w:leftFromText="180" w:rightFromText="180" w:vertAnchor="text" w:horzAnchor="page" w:tblpX="2150" w:tblpY="625"/>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5"/>
        <w:gridCol w:w="2160"/>
        <w:gridCol w:w="1710"/>
        <w:gridCol w:w="2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序号</w:t>
            </w:r>
          </w:p>
        </w:tc>
        <w:tc>
          <w:tcPr>
            <w:tcW w:w="216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部门/支行</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主要对接人</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b/>
                <w:bCs/>
                <w:sz w:val="28"/>
                <w:szCs w:val="28"/>
                <w:highlight w:val="none"/>
                <w:lang w:val="en-US" w:eastAsia="zh-CN" w:bidi="ar-SA"/>
              </w:rPr>
            </w:pPr>
            <w:r>
              <w:rPr>
                <w:rFonts w:hint="eastAsia" w:ascii="仿宋_GB2312" w:hAnsi="宋体" w:eastAsia="仿宋_GB2312" w:cs="Times New Roman"/>
                <w:b/>
                <w:bCs/>
                <w:sz w:val="28"/>
                <w:szCs w:val="28"/>
                <w:highlight w:val="none"/>
                <w:lang w:val="en-US" w:eastAsia="zh-CN" w:bidi="ar-SA"/>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w:t>
            </w:r>
          </w:p>
        </w:tc>
        <w:tc>
          <w:tcPr>
            <w:tcW w:w="2160" w:type="dxa"/>
            <w:vMerge w:val="restart"/>
            <w:tcBorders>
              <w:top w:val="single" w:color="000000" w:sz="4" w:space="0"/>
              <w:left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分行机构业务部</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李俊超</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13702908889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2</w:t>
            </w:r>
          </w:p>
        </w:tc>
        <w:tc>
          <w:tcPr>
            <w:tcW w:w="2160" w:type="dxa"/>
            <w:vMerge w:val="continue"/>
            <w:tcBorders>
              <w:top w:val="single" w:color="000000" w:sz="4" w:space="0"/>
              <w:left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韩梅</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18603094255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3</w:t>
            </w:r>
          </w:p>
        </w:tc>
        <w:tc>
          <w:tcPr>
            <w:tcW w:w="2160" w:type="dxa"/>
            <w:vMerge w:val="continue"/>
            <w:tcBorders>
              <w:top w:val="single" w:color="000000" w:sz="4" w:space="0"/>
              <w:left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李永启</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13809215500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4</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三水支行</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梁维贤</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13925971823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5</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黎莹</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13825520167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6</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高明支行</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叶伟平</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13702957722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7</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曾飞涛</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18566375336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8</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华达支行</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王少霞</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13929920752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9</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徐震岳</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13923123812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10</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城郊支行</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谭笑梅</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13929938992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11</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张兴伟</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13923256029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12</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石湾支行</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陈广深</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13925956459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何浩谊</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13823488393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14</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祖庙支行</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何敏珊</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13630140802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15</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黄思洁</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13500264137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16</w:t>
            </w:r>
          </w:p>
        </w:tc>
        <w:tc>
          <w:tcPr>
            <w:tcW w:w="216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南庄支行</w:t>
            </w: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麦锦培</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13927703445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jc w:val="center"/>
        </w:trPr>
        <w:tc>
          <w:tcPr>
            <w:tcW w:w="95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17</w:t>
            </w:r>
          </w:p>
        </w:tc>
        <w:tc>
          <w:tcPr>
            <w:tcW w:w="216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p>
        </w:tc>
        <w:tc>
          <w:tcPr>
            <w:tcW w:w="1710"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何永至</w:t>
            </w:r>
          </w:p>
        </w:tc>
        <w:tc>
          <w:tcPr>
            <w:tcW w:w="2775" w:type="dxa"/>
            <w:tcBorders>
              <w:top w:val="single" w:color="000000" w:sz="4" w:space="0"/>
              <w:left w:val="single" w:color="000000" w:sz="4" w:space="0"/>
              <w:bottom w:val="single" w:color="000000" w:sz="4" w:space="0"/>
              <w:right w:val="single" w:color="000000" w:sz="4" w:space="0"/>
            </w:tcBorders>
            <w:noWrap w:val="0"/>
            <w:vAlign w:val="center"/>
          </w:tcPr>
          <w:p>
            <w:pPr>
              <w:pStyle w:val="8"/>
              <w:pageBreakBefore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Times New Roman"/>
                <w:sz w:val="28"/>
                <w:szCs w:val="28"/>
                <w:highlight w:val="none"/>
                <w:lang w:val="en-US" w:eastAsia="zh-CN" w:bidi="ar-SA"/>
              </w:rPr>
            </w:pPr>
            <w:r>
              <w:rPr>
                <w:rFonts w:hint="eastAsia" w:ascii="仿宋_GB2312" w:hAnsi="宋体" w:eastAsia="仿宋_GB2312" w:cs="Times New Roman"/>
                <w:sz w:val="28"/>
                <w:szCs w:val="28"/>
                <w:highlight w:val="none"/>
                <w:lang w:val="en-US" w:eastAsia="zh-CN" w:bidi="ar-SA"/>
              </w:rPr>
              <w:t>13923204720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E442C"/>
    <w:rsid w:val="12FE4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New New New New New New New"/>
    <w:next w:val="5"/>
    <w:qFormat/>
    <w:uiPriority w:val="0"/>
    <w:pPr>
      <w:widowControl w:val="0"/>
      <w:jc w:val="both"/>
    </w:pPr>
    <w:rPr>
      <w:rFonts w:ascii="Times New Roman" w:hAnsi="Times New Roman" w:eastAsia="宋体" w:cstheme="minorBidi"/>
      <w:kern w:val="2"/>
      <w:sz w:val="21"/>
      <w:szCs w:val="22"/>
      <w:lang w:val="en-US" w:eastAsia="zh-CN" w:bidi="ar-SA"/>
    </w:rPr>
  </w:style>
  <w:style w:type="paragraph" w:customStyle="1" w:styleId="5">
    <w:name w:val="纯文本1"/>
    <w:basedOn w:val="6"/>
    <w:qFormat/>
    <w:uiPriority w:val="0"/>
    <w:pPr>
      <w:ind w:firstLine="21" w:firstLineChars="200"/>
      <w:jc w:val="left"/>
    </w:pPr>
    <w:rPr>
      <w:rFonts w:ascii="宋体" w:hAnsi="Courier New"/>
      <w:szCs w:val="21"/>
    </w:rPr>
  </w:style>
  <w:style w:type="paragraph" w:customStyle="1" w:styleId="6">
    <w:name w:val="正文 New New New New New New New New"/>
    <w:qFormat/>
    <w:uiPriority w:val="0"/>
    <w:pPr>
      <w:widowControl w:val="0"/>
      <w:jc w:val="both"/>
    </w:pPr>
    <w:rPr>
      <w:rFonts w:ascii="Calibri" w:hAnsi="Calibri" w:eastAsia="宋体" w:cs="Times New Roman"/>
      <w:kern w:val="2"/>
      <w:sz w:val="21"/>
      <w:szCs w:val="24"/>
      <w:lang w:val="en-US" w:eastAsia="zh-CN"/>
    </w:rPr>
  </w:style>
  <w:style w:type="paragraph" w:customStyle="1" w:styleId="7">
    <w:name w:val="Defaul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8">
    <w:name w:val="正文 New New New New New New New New New"/>
    <w:qFormat/>
    <w:uiPriority w:val="0"/>
    <w:pPr>
      <w:widowControl w:val="0"/>
      <w:jc w:val="both"/>
    </w:pPr>
    <w:rPr>
      <w:rFonts w:ascii="Times New Roman" w:hAnsi="Times New Roman" w:eastAsia="宋体" w:cs="Times New Roman"/>
      <w:kern w:val="2"/>
      <w:sz w:val="21"/>
      <w:szCs w:val="20"/>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2020-06-11T02:23:00Z</dcterms:created>
  <dc:creator>liuyi</dc:creator>
  <cp:lastModifiedBy>liuyi</cp:lastModifiedBy>
  <dcterms:modified xsi:type="dcterms:W3CDTF">2020-06-11T02:33:55Z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