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660" w:lineRule="exact"/>
        <w:jc w:val="center"/>
        <w:rPr>
          <w:rFonts w:hint="eastAsia" w:ascii="方正小标宋简体" w:hAnsi="宋体" w:eastAsia="方正小标宋简体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  <w:highlight w:val="none"/>
          <w:lang w:val="en-US" w:eastAsia="zh-CN"/>
        </w:rPr>
        <w:t>佛山农商行</w:t>
      </w:r>
      <w:bookmarkEnd w:id="0"/>
      <w:r>
        <w:rPr>
          <w:rFonts w:hint="eastAsia" w:ascii="方正小标宋简体" w:hAnsi="宋体" w:eastAsia="方正小标宋简体"/>
          <w:sz w:val="44"/>
          <w:szCs w:val="44"/>
          <w:highlight w:val="none"/>
          <w:lang w:eastAsia="zh-CN"/>
        </w:rPr>
        <w:t>支持</w:t>
      </w:r>
      <w:r>
        <w:rPr>
          <w:rFonts w:hint="eastAsia" w:ascii="方正小标宋简体" w:hAnsi="宋体" w:eastAsia="方正小标宋简体"/>
          <w:sz w:val="44"/>
          <w:szCs w:val="44"/>
          <w:highlight w:val="none"/>
          <w:lang w:val="en-US" w:eastAsia="zh-CN"/>
        </w:rPr>
        <w:t>农业农村建设</w:t>
      </w:r>
      <w:r>
        <w:rPr>
          <w:rFonts w:hint="eastAsia" w:ascii="方正小标宋简体" w:hAnsi="宋体" w:eastAsia="方正小标宋简体"/>
          <w:sz w:val="44"/>
          <w:szCs w:val="44"/>
          <w:highlight w:val="none"/>
          <w:lang w:eastAsia="zh-CN"/>
        </w:rPr>
        <w:t>服务方案</w:t>
      </w:r>
    </w:p>
    <w:p>
      <w:pPr>
        <w:pStyle w:val="4"/>
        <w:ind w:firstLine="643" w:firstLineChars="200"/>
        <w:rPr>
          <w:rFonts w:ascii="仿宋_GB2312" w:hAnsi="宋体" w:eastAsia="仿宋_GB2312"/>
          <w:b/>
          <w:color w:val="000000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30" w:firstLineChars="0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一、支持对象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重点支持全市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农业农村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农民的融资需求，涵盖农林牧副渔广义大农业，覆盖农民生产生活的各个资金需求节点，主要包括：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农业种养业，农业生产资料生产销售。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农产品加工、仓储运输、销售流通。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农业服务性行业。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农民创业。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经营性村屋建设，包括拆除旧房的基础上重建/翻新、空地新建等。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30" w:firstLineChars="0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二、主要贷款要素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</w:rPr>
        <w:t>（一）贷款用途方面：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可用于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  <w:highlight w:val="none"/>
        </w:rPr>
        <w:instrText xml:space="preserve"> = 1 \* GB3 </w:instrTex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  <w:highlight w:val="none"/>
        </w:rPr>
        <w:t>①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end"/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农业生产日常经营周转；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  <w:highlight w:val="none"/>
        </w:rPr>
        <w:instrText xml:space="preserve"> = 2 \* GB3 </w:instrTex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  <w:highlight w:val="none"/>
        </w:rPr>
        <w:t>②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end"/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各类农业生产配套设施的投入；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  <w:highlight w:val="none"/>
        </w:rPr>
        <w:instrText xml:space="preserve"> = 3 \* GB3 </w:instrTex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  <w:highlight w:val="none"/>
        </w:rPr>
        <w:t>③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end"/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经营农村商店的流动资金；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  <w:highlight w:val="none"/>
        </w:rPr>
        <w:instrText xml:space="preserve"> = 4 \* GB3 </w:instrTex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  <w:highlight w:val="none"/>
        </w:rPr>
        <w:t>④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end"/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农业服务性行业的各类投入；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  <w:highlight w:val="none"/>
        </w:rPr>
        <w:instrText xml:space="preserve"> = 5 \* GB3 </w:instrTex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  <w:highlight w:val="none"/>
        </w:rPr>
        <w:t>⑤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end"/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农民的生产创业项目；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  <w:highlight w:val="none"/>
        </w:rPr>
        <w:instrText xml:space="preserve"> = 6 \* GB3 </w:instrTex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  <w:highlight w:val="none"/>
        </w:rPr>
        <w:t>⑥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fldChar w:fldCharType="end"/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经营性村屋建设等。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</w:rPr>
        <w:t>（二）贷款额度方面：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根据农户、涉农企业、农民合作社、家庭农场实际经营情况核算，固定投入类贷款金额可高达项目投资70%。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</w:rPr>
        <w:t>（三）贷款期限方面：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贷款期限最长5年，政策稳定可无忧续贷。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</w:rPr>
        <w:t>（四）贷款价格方面：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定制一口价式实惠利率，符合相关政策准入的客户还可享受财政贴息，融资成本低。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</w:rPr>
        <w:t>（五）还款方式方面：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按月结息，分期还本，最优可到期一次性还本。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30" w:firstLineChars="0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三、专属服务支持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</w:rPr>
        <w:t>（一）贴地专业团队24小时服务：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超过200家营业网点遍布城乡各处，熟谙风土人情及农业知识，300多人的专业服务团队，24小时提供贴心贴身服务。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</w:rPr>
        <w:t>（二）高效办理流程：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充分利用本土银行的优势，实施动态授权管理，简化审批流程，特别对办理上述融资产品的客户，优先受理、优先审批、切实提升客户获贷效率。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</w:rPr>
        <w:t>（三）覆盖面广：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广义大农业全覆盖，产业链流程全涵括，全方位多角度全面满足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农业农村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农民的融资需求。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</w:rPr>
        <w:t>（四）无忧贴息申报流程</w:t>
      </w:r>
      <w:r>
        <w:rPr>
          <w:rFonts w:hint="eastAsia" w:ascii="楷体_GB2312" w:eastAsia="楷体_GB2312"/>
          <w:b w:val="0"/>
          <w:bCs/>
          <w:sz w:val="32"/>
          <w:szCs w:val="32"/>
          <w:highlight w:val="none"/>
        </w:rPr>
        <w:tab/>
      </w:r>
      <w:r>
        <w:rPr>
          <w:rFonts w:hint="eastAsia" w:ascii="楷体_GB2312" w:eastAsia="楷体_GB2312"/>
          <w:b w:val="0"/>
          <w:bCs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指定专人每季度收集贴息申请资料，报送至相关部门，审核无误后将贴息资金通过专户转入借款人结算账户，全程无需借款人忧心劳力。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 w:val="0"/>
          <w:bCs/>
          <w:sz w:val="32"/>
          <w:szCs w:val="32"/>
          <w:highlight w:val="none"/>
        </w:rPr>
        <w:t>（五）配套金融服务：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全面配套代发工资、代扣税、代扣水电煤等业务，并提供批量业务上门服务，全力贴身贴心满足新农村新农业建设者的金融服务需求。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pStyle w:val="7"/>
        <w:rPr>
          <w:rFonts w:hint="eastAsia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  <w:t>附表</w:t>
      </w:r>
    </w:p>
    <w:p>
      <w:pPr>
        <w:pStyle w:val="7"/>
        <w:rPr>
          <w:rFonts w:hint="eastAsia"/>
          <w:highlight w:val="none"/>
          <w:lang w:val="en-US" w:eastAsia="zh-CN"/>
        </w:rPr>
      </w:pPr>
    </w:p>
    <w:p>
      <w:pPr>
        <w:pStyle w:val="4"/>
        <w:snapToGrid w:val="0"/>
        <w:spacing w:line="660" w:lineRule="exact"/>
        <w:jc w:val="center"/>
        <w:rPr>
          <w:rFonts w:hint="eastAsia" w:ascii="方正小标宋简体" w:hAnsi="宋体" w:eastAsia="方正小标宋简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sz w:val="44"/>
          <w:szCs w:val="44"/>
          <w:highlight w:val="none"/>
        </w:rPr>
        <w:t>佛山市各区佛山农商行主要对接人名单</w:t>
      </w:r>
    </w:p>
    <w:p>
      <w:pPr>
        <w:pStyle w:val="7"/>
        <w:rPr>
          <w:rFonts w:hint="eastAsia" w:ascii="仿宋_GB2312" w:hAnsi="宋体" w:eastAsia="仿宋_GB2312"/>
          <w:sz w:val="32"/>
          <w:szCs w:val="32"/>
          <w:highlight w:val="none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3264"/>
        <w:gridCol w:w="2402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区域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部门/支行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禅城区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总行营业部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周先生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13927732677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禅城区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环市支行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李小姐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13929988533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禅城区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南庄支行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谭先生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13435418294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禅城区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张槎支行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陈先生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13450569930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禅城区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澜石支行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蔡先生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13509964513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禅城区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城南支行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冯先生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13928537843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禅城区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民生事业营销中心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程先生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18029238320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禅城区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泛家居行业营销中心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关小姐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13928663072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高明区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高明支行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何先生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13516577559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高明区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荷城支行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梁先生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13380251122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高明区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杨和支行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朱先生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18029238018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高明区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西安支行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朱先生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13929963096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高明区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明城支行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丘先生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15899575070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高明区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更合支行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梁先生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15217677066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三水区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三水支行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黎先生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13925405330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三水区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西南支行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冯先生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13760998663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三水区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芦苞支行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何小姐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13760962847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三水区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大塘支行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何先生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13927799949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三水区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乐平支行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聂先生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18689240280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三水区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白坭支行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李先生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13823449605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顺德区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顺德营销团队1组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梁先生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18029238477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顺德区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顺德营销团队2组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张先生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13318332289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顺德区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顺德营销团队3组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黄先生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13827789289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南海区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南海营销团队1组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吴先生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13450856047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南海区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南海营销团队2组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梁先生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15015751475</w:t>
            </w:r>
          </w:p>
        </w:tc>
      </w:tr>
    </w:tbl>
    <w:p>
      <w:pPr>
        <w:pStyle w:val="4"/>
        <w:rPr>
          <w:rFonts w:ascii="仿宋_GB2312" w:hAnsi="宋体" w:eastAsia="仿宋_GB2312"/>
          <w:color w:val="00000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0125B"/>
    <w:rsid w:val="5420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"/>
    <w:next w:val="5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customStyle="1" w:styleId="5">
    <w:name w:val="纯文本1"/>
    <w:basedOn w:val="6"/>
    <w:uiPriority w:val="0"/>
    <w:pPr>
      <w:ind w:firstLine="21" w:firstLineChars="200"/>
      <w:jc w:val="left"/>
    </w:pPr>
    <w:rPr>
      <w:rFonts w:ascii="宋体" w:hAnsi="Courier New"/>
      <w:szCs w:val="21"/>
    </w:rPr>
  </w:style>
  <w:style w:type="paragraph" w:customStyle="1" w:styleId="6">
    <w:name w:val="正文 New New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宋体"/>
      <w:color w:val="000000"/>
      <w:sz w:val="24"/>
      <w:szCs w:val="22"/>
      <w:lang w:val="en-US" w:eastAsia="zh-CN" w:bidi="ar-SA"/>
    </w:rPr>
  </w:style>
  <w:style w:type="paragraph" w:customStyle="1" w:styleId="8">
    <w:name w:val="正文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2020-06-11T02:32:00Z</dcterms:created>
  <dc:creator>liuyi</dc:creator>
  <cp:lastModifiedBy>liuyi</cp:lastModifiedBy>
  <dcterms:modified xsi:type="dcterms:W3CDTF">2020-06-11T02:33:02Z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