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rPr>
          <w:rFonts w:hint="eastAsia" w:ascii="方正小标宋简体" w:hAnsi="方正小标宋简体" w:eastAsia="方正小标宋简体" w:cs="黑体"/>
          <w:b w:val="0"/>
          <w:bCs w:val="0"/>
          <w:sz w:val="44"/>
          <w:szCs w:val="44"/>
          <w:highlight w:val="none"/>
          <w:lang w:eastAsia="zh-CN"/>
        </w:rPr>
      </w:pPr>
      <w:r>
        <w:rPr>
          <w:rFonts w:hint="eastAsia" w:ascii="方正小标宋简体" w:hAnsi="方正小标宋简体" w:eastAsia="方正小标宋简体" w:cs="黑体"/>
          <w:b w:val="0"/>
          <w:bCs w:val="0"/>
          <w:sz w:val="44"/>
          <w:szCs w:val="44"/>
          <w:highlight w:val="none"/>
          <w:lang w:val="en-US" w:eastAsia="zh-CN"/>
        </w:rPr>
        <w:t>农业银行佛山分行</w:t>
      </w:r>
      <w:r>
        <w:rPr>
          <w:rFonts w:hint="eastAsia" w:ascii="方正小标宋简体" w:hAnsi="方正小标宋简体" w:eastAsia="方正小标宋简体" w:cs="黑体"/>
          <w:b w:val="0"/>
          <w:bCs w:val="0"/>
          <w:sz w:val="44"/>
          <w:szCs w:val="44"/>
          <w:highlight w:val="none"/>
        </w:rPr>
        <w:t>支持</w:t>
      </w:r>
      <w:r>
        <w:rPr>
          <w:rFonts w:hint="eastAsia" w:ascii="方正小标宋简体" w:hAnsi="方正小标宋简体" w:eastAsia="方正小标宋简体" w:cs="黑体"/>
          <w:b w:val="0"/>
          <w:bCs w:val="0"/>
          <w:sz w:val="44"/>
          <w:szCs w:val="44"/>
          <w:highlight w:val="none"/>
          <w:lang w:eastAsia="zh-CN"/>
        </w:rPr>
        <w:t>文广旅体、餐饮企业</w:t>
      </w:r>
    </w:p>
    <w:p>
      <w:pPr>
        <w:pStyle w:val="4"/>
        <w:pageBreakBefore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rPr>
          <w:rFonts w:hint="eastAsia" w:ascii="方正小标宋简体" w:hAnsi="方正小标宋简体" w:eastAsia="方正小标宋简体" w:cs="黑体"/>
          <w:b w:val="0"/>
          <w:bCs w:val="0"/>
          <w:sz w:val="44"/>
          <w:szCs w:val="44"/>
          <w:highlight w:val="none"/>
        </w:rPr>
      </w:pPr>
      <w:r>
        <w:rPr>
          <w:rFonts w:hint="eastAsia" w:ascii="方正小标宋简体" w:hAnsi="方正小标宋简体" w:eastAsia="方正小标宋简体" w:cs="黑体"/>
          <w:b w:val="0"/>
          <w:bCs w:val="0"/>
          <w:sz w:val="44"/>
          <w:szCs w:val="44"/>
          <w:highlight w:val="none"/>
        </w:rPr>
        <w:t>综合金融服务方案</w:t>
      </w:r>
    </w:p>
    <w:p>
      <w:pPr>
        <w:pStyle w:val="4"/>
        <w:pageBreakBefore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rPr>
          <w:rFonts w:hint="eastAsia" w:ascii="仿宋_GB2312" w:hAnsi="仿宋_GB2312" w:eastAsia="仿宋_GB2312" w:cs="黑体"/>
          <w:b w:val="0"/>
          <w:bCs w:val="0"/>
          <w:sz w:val="32"/>
          <w:szCs w:val="44"/>
          <w:highlight w:val="none"/>
        </w:rPr>
      </w:pPr>
    </w:p>
    <w:p>
      <w:pPr>
        <w:pStyle w:val="4"/>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为支持“稳就业”“保主体”，农业银行佛山分行为文广旅体、餐饮企业提供全方位、一体化的优质金融服务，为企业复工复产期间提供专项融资产品组合——“文旅e贷”。</w:t>
      </w:r>
    </w:p>
    <w:p>
      <w:pPr>
        <w:pStyle w:val="4"/>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农行“文旅e贷”产品能全面覆盖文化、广电、旅游、体育、餐饮行业不同企业的融资需求，涵盖信用、质押、抵押等不同担保方式，确保满足企业多样的融资需求。我行将根据文广旅体、餐饮企业的经营情况，以抵押、质押、信用等方式核定综合授信额度；授信额度可用于可循环使用的短期授信业务，也可申请中长期业务；各类贷款利率执行国家</w:t>
      </w:r>
      <w:bookmarkStart w:id="11" w:name="_GoBack"/>
      <w:bookmarkEnd w:id="11"/>
      <w:r>
        <w:rPr>
          <w:rFonts w:hint="eastAsia" w:ascii="仿宋_GB2312" w:hAnsi="仿宋_GB2312" w:eastAsia="仿宋_GB2312"/>
          <w:sz w:val="32"/>
          <w:szCs w:val="32"/>
          <w:highlight w:val="none"/>
          <w:lang w:val="en-US" w:eastAsia="zh-CN"/>
        </w:rPr>
        <w:t>民营企业贷款优惠政策。</w:t>
      </w:r>
      <w:bookmarkStart w:id="0" w:name="_Toc23525"/>
      <w:r>
        <w:rPr>
          <w:rFonts w:hint="eastAsia" w:ascii="仿宋_GB2312" w:hAnsi="仿宋_GB2312" w:eastAsia="仿宋_GB2312"/>
          <w:sz w:val="32"/>
          <w:szCs w:val="32"/>
          <w:highlight w:val="none"/>
          <w:lang w:val="en-US" w:eastAsia="zh-CN"/>
        </w:rPr>
        <w:t>具体融资方案如下：</w:t>
      </w:r>
      <w:bookmarkEnd w:id="0"/>
    </w:p>
    <w:p>
      <w:pPr>
        <w:pStyle w:val="5"/>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284" w:rightChars="0"/>
        <w:jc w:val="both"/>
        <w:textAlignment w:val="auto"/>
        <w:rPr>
          <w:rFonts w:hint="eastAsia" w:ascii="黑体" w:hAnsi="黑体" w:eastAsia="黑体"/>
          <w:b w:val="0"/>
          <w:bCs/>
          <w:sz w:val="32"/>
          <w:highlight w:val="none"/>
          <w:lang w:val="en-US" w:eastAsia="zh-CN"/>
        </w:rPr>
      </w:pPr>
      <w:r>
        <w:rPr>
          <w:rFonts w:hint="eastAsia" w:ascii="仿宋_GB2312" w:hAnsi="仿宋_GB2312" w:eastAsia="仿宋_GB2312"/>
          <w:sz w:val="32"/>
          <w:szCs w:val="32"/>
          <w:highlight w:val="none"/>
          <w:lang w:val="en-US" w:eastAsia="zh-CN"/>
        </w:rPr>
        <w:t xml:space="preserve">   </w:t>
      </w:r>
      <w:r>
        <w:rPr>
          <w:rFonts w:hint="eastAsia" w:ascii="黑体" w:hAnsi="黑体" w:eastAsia="黑体"/>
          <w:b w:val="0"/>
          <w:bCs/>
          <w:sz w:val="32"/>
          <w:szCs w:val="32"/>
          <w:highlight w:val="none"/>
          <w:lang w:val="en-US" w:eastAsia="zh-CN"/>
        </w:rPr>
        <w:t xml:space="preserve"> </w:t>
      </w:r>
      <w:r>
        <w:rPr>
          <w:rFonts w:hint="eastAsia" w:ascii="黑体" w:hAnsi="黑体" w:eastAsia="黑体" w:cs="黑体"/>
          <w:b w:val="0"/>
          <w:bCs/>
          <w:sz w:val="32"/>
          <w:szCs w:val="32"/>
          <w:highlight w:val="none"/>
          <w:lang w:val="en-US" w:eastAsia="zh-CN"/>
        </w:rPr>
        <w:t>一、产品优势</w:t>
      </w:r>
    </w:p>
    <w:p>
      <w:pPr>
        <w:pStyle w:val="4"/>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textAlignment w:val="auto"/>
        <w:rPr>
          <w:rFonts w:hint="eastAsia" w:ascii="楷体_GB2312" w:hAnsi="楷体_GB2312" w:eastAsia="楷体_GB2312"/>
          <w:b w:val="0"/>
          <w:bCs w:val="0"/>
          <w:sz w:val="32"/>
          <w:szCs w:val="32"/>
          <w:highlight w:val="none"/>
          <w:lang w:val="en-US" w:eastAsia="zh-CN"/>
        </w:rPr>
      </w:pPr>
      <w:r>
        <w:rPr>
          <w:rFonts w:hint="eastAsia" w:ascii="仿宋_GB2312" w:hAnsi="仿宋_GB2312" w:eastAsia="仿宋_GB2312"/>
          <w:sz w:val="32"/>
          <w:szCs w:val="32"/>
          <w:highlight w:val="none"/>
          <w:lang w:val="en-US" w:eastAsia="zh-CN"/>
        </w:rPr>
        <w:t xml:space="preserve"> </w:t>
      </w:r>
      <w:r>
        <w:rPr>
          <w:rFonts w:hint="eastAsia" w:ascii="仿宋_GB2312" w:hAnsi="仿宋_GB2312" w:eastAsia="仿宋_GB2312"/>
          <w:b/>
          <w:bCs/>
          <w:sz w:val="32"/>
          <w:szCs w:val="32"/>
          <w:highlight w:val="none"/>
          <w:lang w:val="en-US" w:eastAsia="zh-CN"/>
        </w:rPr>
        <w:t xml:space="preserve"> </w:t>
      </w:r>
      <w:r>
        <w:rPr>
          <w:rFonts w:hint="eastAsia" w:ascii="楷体_GB2312" w:hAnsi="楷体_GB2312" w:eastAsia="楷体_GB2312"/>
          <w:b w:val="0"/>
          <w:bCs w:val="0"/>
          <w:sz w:val="32"/>
          <w:szCs w:val="32"/>
          <w:highlight w:val="none"/>
          <w:lang w:val="en-US" w:eastAsia="zh-CN"/>
        </w:rPr>
        <w:t xml:space="preserve"> （一）产品融资成本低</w:t>
      </w:r>
    </w:p>
    <w:p>
      <w:pPr>
        <w:pStyle w:val="4"/>
        <w:pageBreakBefore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“文旅e贷”产品享受国家和农行的普惠金融信贷政策和优惠利率，融资成本低，农行推出的该产品在银行同业具有绝对优势，让企业充分享受佛山高质量发展的红利。</w:t>
      </w:r>
    </w:p>
    <w:p>
      <w:pPr>
        <w:pStyle w:val="4"/>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textAlignment w:val="auto"/>
        <w:rPr>
          <w:rFonts w:hint="eastAsia" w:ascii="楷体_GB2312" w:hAnsi="楷体_GB2312" w:eastAsia="楷体_GB2312"/>
          <w:b w:val="0"/>
          <w:bCs w:val="0"/>
          <w:sz w:val="32"/>
          <w:szCs w:val="32"/>
          <w:highlight w:val="none"/>
          <w:lang w:val="en-US" w:eastAsia="zh-CN"/>
        </w:rPr>
      </w:pPr>
      <w:r>
        <w:rPr>
          <w:rFonts w:hint="eastAsia" w:ascii="仿宋_GB2312" w:hAnsi="仿宋_GB2312" w:eastAsia="仿宋_GB2312"/>
          <w:sz w:val="32"/>
          <w:szCs w:val="32"/>
          <w:highlight w:val="none"/>
          <w:lang w:val="en-US" w:eastAsia="zh-CN"/>
        </w:rPr>
        <w:t xml:space="preserve">    </w:t>
      </w:r>
      <w:r>
        <w:rPr>
          <w:rFonts w:hint="eastAsia" w:ascii="楷体_GB2312" w:hAnsi="楷体_GB2312" w:eastAsia="楷体_GB2312"/>
          <w:b w:val="0"/>
          <w:bCs w:val="0"/>
          <w:sz w:val="32"/>
          <w:szCs w:val="32"/>
          <w:highlight w:val="none"/>
          <w:lang w:val="en-US" w:eastAsia="zh-CN"/>
        </w:rPr>
        <w:t>（二）产品专项额度足</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jc w:val="both"/>
        <w:textAlignment w:val="auto"/>
        <w:outlineLvl w:val="9"/>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 xml:space="preserve">    农行对“文旅e贷”业务安排了足额的专项信贷规模，能全面满足广大文广旅体、餐饮企业的融资需求，确保文广旅体、餐饮企业随时提款。</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jc w:val="both"/>
        <w:textAlignment w:val="auto"/>
        <w:outlineLvl w:val="9"/>
        <w:rPr>
          <w:rFonts w:hint="eastAsia" w:ascii="楷体_GB2312" w:hAnsi="楷体_GB2312" w:eastAsia="楷体_GB2312"/>
          <w:b w:val="0"/>
          <w:bCs w:val="0"/>
          <w:sz w:val="32"/>
          <w:szCs w:val="32"/>
          <w:highlight w:val="none"/>
          <w:lang w:val="en-US" w:eastAsia="zh-CN"/>
        </w:rPr>
      </w:pPr>
      <w:r>
        <w:rPr>
          <w:rFonts w:hint="eastAsia" w:ascii="仿宋_GB2312" w:hAnsi="仿宋_GB2312" w:eastAsia="仿宋_GB2312"/>
          <w:sz w:val="32"/>
          <w:szCs w:val="32"/>
          <w:highlight w:val="none"/>
          <w:lang w:val="en-US" w:eastAsia="zh-CN"/>
        </w:rPr>
        <w:t xml:space="preserve">   </w:t>
      </w:r>
      <w:r>
        <w:rPr>
          <w:rFonts w:hint="eastAsia" w:ascii="仿宋_GB2312" w:hAnsi="仿宋_GB2312" w:eastAsia="仿宋_GB2312"/>
          <w:b/>
          <w:bCs/>
          <w:sz w:val="32"/>
          <w:szCs w:val="32"/>
          <w:highlight w:val="none"/>
          <w:lang w:val="en-US" w:eastAsia="zh-CN"/>
        </w:rPr>
        <w:t xml:space="preserve"> </w:t>
      </w:r>
      <w:r>
        <w:rPr>
          <w:rFonts w:hint="eastAsia" w:ascii="楷体_GB2312" w:hAnsi="楷体_GB2312" w:eastAsia="楷体_GB2312"/>
          <w:b w:val="0"/>
          <w:bCs w:val="0"/>
          <w:sz w:val="32"/>
          <w:szCs w:val="32"/>
          <w:highlight w:val="none"/>
          <w:lang w:val="en-US" w:eastAsia="zh-CN"/>
        </w:rPr>
        <w:t>（三）产品覆盖范围广</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jc w:val="both"/>
        <w:textAlignment w:val="auto"/>
        <w:outlineLvl w:val="9"/>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 xml:space="preserve">   “文旅e贷”产品能全面覆盖文化、广电、旅游、体育行业不同企业的融资需求，涵盖信用、质押、抵押等不同担保方式，确保满足企业多样的融资需求。</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jc w:val="both"/>
        <w:textAlignment w:val="auto"/>
        <w:outlineLvl w:val="9"/>
        <w:rPr>
          <w:rFonts w:hint="eastAsia" w:ascii="楷体_GB2312" w:hAnsi="楷体_GB2312" w:eastAsia="楷体_GB2312"/>
          <w:b w:val="0"/>
          <w:bCs w:val="0"/>
          <w:sz w:val="32"/>
          <w:szCs w:val="32"/>
          <w:highlight w:val="none"/>
          <w:lang w:val="en-US" w:eastAsia="zh-CN"/>
        </w:rPr>
      </w:pPr>
      <w:r>
        <w:rPr>
          <w:rFonts w:hint="eastAsia" w:ascii="仿宋_GB2312" w:hAnsi="仿宋_GB2312" w:eastAsia="仿宋_GB2312"/>
          <w:sz w:val="32"/>
          <w:szCs w:val="32"/>
          <w:highlight w:val="none"/>
          <w:lang w:val="en-US" w:eastAsia="zh-CN"/>
        </w:rPr>
        <w:t xml:space="preserve">    </w:t>
      </w:r>
      <w:r>
        <w:rPr>
          <w:rFonts w:hint="eastAsia" w:ascii="楷体_GB2312" w:hAnsi="楷体_GB2312" w:eastAsia="楷体_GB2312"/>
          <w:b w:val="0"/>
          <w:bCs w:val="0"/>
          <w:sz w:val="32"/>
          <w:szCs w:val="32"/>
          <w:highlight w:val="none"/>
          <w:lang w:val="en-US" w:eastAsia="zh-CN"/>
        </w:rPr>
        <w:t>（四）产品放款速度快</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jc w:val="both"/>
        <w:textAlignment w:val="auto"/>
        <w:outlineLvl w:val="9"/>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 xml:space="preserve">    农行“文旅e贷”产品操作简便，能根据企业需求可通过线上和线下方式办理，及时满足不同企业的融资需求，最快能在两个工作日内实现放款。</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jc w:val="both"/>
        <w:textAlignment w:val="auto"/>
        <w:outlineLvl w:val="9"/>
        <w:rPr>
          <w:rFonts w:hint="eastAsia" w:ascii="楷体_GB2312" w:hAnsi="楷体_GB2312" w:eastAsia="楷体_GB2312"/>
          <w:b w:val="0"/>
          <w:bCs w:val="0"/>
          <w:sz w:val="32"/>
          <w:szCs w:val="32"/>
          <w:highlight w:val="none"/>
          <w:lang w:val="en-US" w:eastAsia="zh-CN"/>
        </w:rPr>
      </w:pPr>
      <w:r>
        <w:rPr>
          <w:rFonts w:hint="eastAsia" w:ascii="仿宋_GB2312" w:hAnsi="仿宋_GB2312" w:eastAsia="仿宋_GB2312"/>
          <w:sz w:val="32"/>
          <w:szCs w:val="32"/>
          <w:highlight w:val="none"/>
          <w:lang w:val="en-US" w:eastAsia="zh-CN"/>
        </w:rPr>
        <w:t xml:space="preserve">   </w:t>
      </w:r>
      <w:r>
        <w:rPr>
          <w:rFonts w:hint="eastAsia" w:ascii="仿宋_GB2312" w:hAnsi="仿宋_GB2312" w:eastAsia="仿宋_GB2312"/>
          <w:b/>
          <w:bCs/>
          <w:sz w:val="32"/>
          <w:szCs w:val="32"/>
          <w:highlight w:val="none"/>
          <w:lang w:val="en-US" w:eastAsia="zh-CN"/>
        </w:rPr>
        <w:t xml:space="preserve"> </w:t>
      </w:r>
      <w:r>
        <w:rPr>
          <w:rFonts w:hint="eastAsia" w:ascii="楷体_GB2312" w:hAnsi="楷体_GB2312" w:eastAsia="楷体_GB2312"/>
          <w:b w:val="0"/>
          <w:bCs w:val="0"/>
          <w:sz w:val="32"/>
          <w:szCs w:val="32"/>
          <w:highlight w:val="none"/>
          <w:lang w:val="en-US" w:eastAsia="zh-CN"/>
        </w:rPr>
        <w:t>（五）农行网点分布广</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jc w:val="both"/>
        <w:textAlignment w:val="auto"/>
        <w:outlineLvl w:val="9"/>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 xml:space="preserve">    农行营业网点众多，全面覆盖佛山五区各镇街，可有效和便捷地为文广旅体、餐饮企业提供包括融资服务外的其他结算、增值等各种金融服务，让企业体验农行的全方位优质服务。</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jc w:val="both"/>
        <w:textAlignment w:val="auto"/>
        <w:outlineLvl w:val="9"/>
        <w:rPr>
          <w:rFonts w:hint="eastAsia" w:ascii="楷体_GB2312" w:hAnsi="楷体_GB2312" w:eastAsia="楷体_GB2312"/>
          <w:b w:val="0"/>
          <w:bCs w:val="0"/>
          <w:sz w:val="32"/>
          <w:szCs w:val="32"/>
          <w:highlight w:val="none"/>
          <w:lang w:val="en-US" w:eastAsia="zh-CN"/>
        </w:rPr>
      </w:pPr>
      <w:r>
        <w:rPr>
          <w:rFonts w:hint="eastAsia" w:ascii="仿宋_GB2312" w:hAnsi="仿宋_GB2312" w:eastAsia="仿宋_GB2312"/>
          <w:sz w:val="32"/>
          <w:szCs w:val="32"/>
          <w:highlight w:val="none"/>
          <w:lang w:val="en-US" w:eastAsia="zh-CN"/>
        </w:rPr>
        <w:t xml:space="preserve"> </w:t>
      </w:r>
      <w:r>
        <w:rPr>
          <w:rFonts w:hint="eastAsia" w:ascii="仿宋_GB2312" w:hAnsi="仿宋_GB2312" w:eastAsia="仿宋_GB2312"/>
          <w:b/>
          <w:bCs/>
          <w:sz w:val="32"/>
          <w:szCs w:val="32"/>
          <w:highlight w:val="none"/>
          <w:lang w:val="en-US" w:eastAsia="zh-CN"/>
        </w:rPr>
        <w:t xml:space="preserve">   </w:t>
      </w:r>
      <w:r>
        <w:rPr>
          <w:rFonts w:hint="eastAsia" w:ascii="楷体_GB2312" w:hAnsi="楷体_GB2312" w:eastAsia="楷体_GB2312"/>
          <w:b w:val="0"/>
          <w:bCs w:val="0"/>
          <w:sz w:val="32"/>
          <w:szCs w:val="32"/>
          <w:highlight w:val="none"/>
          <w:lang w:val="en-US" w:eastAsia="zh-CN"/>
        </w:rPr>
        <w:t>（六）服务团队专业性强</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农行已成立“文旅e贷”产品专业服务团队，由分行行领导牵头，并指定专业支行办理，团队成员涵盖佛山分行多个业务支持部门。我行将以一支强大的专业化服务团队，竭诚为文广旅体、餐饮企业提供高效、优质、快速、全面的金融服务。</w:t>
      </w:r>
    </w:p>
    <w:p>
      <w:pPr>
        <w:pStyle w:val="5"/>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284" w:rightChars="0" w:firstLine="640" w:firstLineChars="200"/>
        <w:jc w:val="both"/>
        <w:textAlignment w:val="auto"/>
        <w:rPr>
          <w:rFonts w:hint="eastAsia" w:ascii="仿宋_GB2312" w:hAnsi="仿宋_GB2312" w:eastAsia="仿宋_GB2312" w:cs="黑体"/>
          <w:sz w:val="32"/>
          <w:szCs w:val="32"/>
          <w:highlight w:val="none"/>
          <w:lang w:val="en-US" w:eastAsia="zh-CN"/>
        </w:rPr>
      </w:pPr>
      <w:r>
        <w:rPr>
          <w:rFonts w:hint="eastAsia" w:ascii="黑体" w:hAnsi="黑体" w:eastAsia="黑体" w:cs="黑体"/>
          <w:b w:val="0"/>
          <w:bCs/>
          <w:sz w:val="32"/>
          <w:szCs w:val="32"/>
          <w:highlight w:val="none"/>
          <w:lang w:val="en-US" w:eastAsia="zh-CN"/>
        </w:rPr>
        <w:t>二、产品方案</w:t>
      </w:r>
      <w:bookmarkStart w:id="1" w:name="_Toc27230"/>
    </w:p>
    <w:p>
      <w:pPr>
        <w:pStyle w:val="6"/>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200" w:right="-286"/>
        <w:jc w:val="both"/>
        <w:textAlignment w:val="auto"/>
        <w:rPr>
          <w:rFonts w:hint="eastAsia" w:ascii="楷体_GB2312" w:hAnsi="楷体_GB2312" w:eastAsia="楷体_GB2312"/>
          <w:b w:val="0"/>
          <w:kern w:val="2"/>
          <w:sz w:val="32"/>
          <w:szCs w:val="32"/>
          <w:highlight w:val="none"/>
          <w:lang w:val="en-US" w:eastAsia="zh-CN" w:bidi="ar-SA"/>
        </w:rPr>
      </w:pPr>
      <w:r>
        <w:rPr>
          <w:rFonts w:hint="eastAsia" w:ascii="仿宋_GB2312" w:hAnsi="仿宋_GB2312" w:eastAsia="仿宋_GB2312"/>
          <w:b w:val="0"/>
          <w:kern w:val="2"/>
          <w:sz w:val="32"/>
          <w:szCs w:val="32"/>
          <w:highlight w:val="none"/>
          <w:lang w:val="en-US" w:eastAsia="zh-CN" w:bidi="ar-SA"/>
        </w:rPr>
        <w:t xml:space="preserve"> </w:t>
      </w:r>
      <w:r>
        <w:rPr>
          <w:rFonts w:hint="eastAsia" w:ascii="楷体_GB2312" w:hAnsi="楷体_GB2312" w:eastAsia="楷体_GB2312"/>
          <w:b w:val="0"/>
          <w:kern w:val="2"/>
          <w:sz w:val="32"/>
          <w:szCs w:val="32"/>
          <w:highlight w:val="none"/>
          <w:lang w:val="en-US" w:eastAsia="zh-CN" w:bidi="ar-SA"/>
        </w:rPr>
        <w:t xml:space="preserve"> （一）公司类业务融资方案</w:t>
      </w:r>
      <w:bookmarkEnd w:id="1"/>
      <w:bookmarkStart w:id="2" w:name="_Toc13310"/>
    </w:p>
    <w:p>
      <w:pPr>
        <w:pStyle w:val="6"/>
        <w:keepNext/>
        <w:keepLines/>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0" w:leftChars="0" w:right="-286" w:rightChars="0" w:firstLine="562" w:firstLineChars="200"/>
        <w:jc w:val="both"/>
        <w:textAlignment w:val="auto"/>
        <w:outlineLvl w:val="2"/>
        <w:rPr>
          <w:rFonts w:hint="eastAsia" w:ascii="楷体_GB2312" w:eastAsia="楷体_GB2312"/>
          <w:sz w:val="28"/>
          <w:szCs w:val="28"/>
          <w:highlight w:val="none"/>
          <w:lang w:val="en-US" w:eastAsia="zh-CN"/>
        </w:rPr>
      </w:pPr>
      <w:bookmarkStart w:id="3" w:name="_Toc14765"/>
      <w:r>
        <w:rPr>
          <w:rFonts w:hint="eastAsia" w:ascii="楷体_GB2312" w:eastAsia="楷体_GB2312"/>
          <w:sz w:val="28"/>
          <w:szCs w:val="28"/>
          <w:highlight w:val="none"/>
          <w:lang w:val="en-US" w:eastAsia="zh-CN"/>
        </w:rPr>
        <w:t>A类客户-拥有已开始营运、能产生稳定现金流的旅游、景区项目</w:t>
      </w:r>
    </w:p>
    <w:p>
      <w:pPr>
        <w:pStyle w:val="4"/>
        <w:pageBreakBefore w:val="0"/>
        <w:kinsoku/>
        <w:wordWrap/>
        <w:overflowPunct/>
        <w:topLinePunct w:val="0"/>
        <w:autoSpaceDE/>
        <w:autoSpaceDN/>
        <w:bidi w:val="0"/>
        <w:adjustRightInd/>
        <w:snapToGrid/>
        <w:spacing w:before="0" w:beforeLines="0" w:after="0" w:afterLines="0" w:line="540" w:lineRule="exact"/>
        <w:ind w:firstLine="560" w:firstLineChars="200"/>
        <w:jc w:val="both"/>
        <w:textAlignment w:val="auto"/>
        <w:rPr>
          <w:rFonts w:hint="eastAsia" w:ascii="楷体_GB2312" w:eastAsia="楷体_GB2312"/>
          <w:sz w:val="28"/>
          <w:szCs w:val="28"/>
          <w:highlight w:val="none"/>
          <w:lang w:val="en-US" w:eastAsia="zh-CN"/>
        </w:rPr>
      </w:pPr>
      <w:r>
        <w:rPr>
          <w:rFonts w:hint="eastAsia" w:ascii="楷体_GB2312" w:eastAsia="楷体_GB2312"/>
          <w:sz w:val="28"/>
          <w:szCs w:val="28"/>
          <w:highlight w:val="none"/>
          <w:lang w:val="en-US" w:eastAsia="zh-CN"/>
        </w:rPr>
        <w:t>根据贷款期限内景区收费权的总额，核定可融资额度，具体要素如下：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业务品种</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lang w:eastAsia="zh-CN"/>
              </w:rPr>
            </w:pPr>
            <w:r>
              <w:rPr>
                <w:rFonts w:hint="eastAsia" w:ascii="仿宋_GB2312" w:hAnsi="仿宋_GB2312" w:eastAsia="仿宋_GB2312" w:cs="仿宋_GB2312"/>
                <w:b/>
                <w:sz w:val="24"/>
                <w:szCs w:val="24"/>
                <w:highlight w:val="none"/>
                <w:lang w:eastAsia="zh-CN"/>
              </w:rPr>
              <w:t>流动资金贷款、固定资产贷款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贷款额度</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单户</w:t>
            </w:r>
            <w:r>
              <w:rPr>
                <w:rFonts w:hint="eastAsia" w:ascii="仿宋_GB2312" w:hAnsi="仿宋_GB2312" w:eastAsia="仿宋_GB2312" w:cs="仿宋_GB2312"/>
                <w:b w:val="0"/>
                <w:bCs/>
                <w:sz w:val="24"/>
                <w:szCs w:val="24"/>
                <w:highlight w:val="none"/>
                <w:lang w:eastAsia="zh-CN"/>
              </w:rPr>
              <w:t>不超过</w:t>
            </w:r>
            <w:r>
              <w:rPr>
                <w:rFonts w:hint="eastAsia" w:ascii="仿宋_GB2312" w:hAnsi="仿宋_GB2312" w:eastAsia="仿宋_GB2312" w:cs="仿宋_GB2312"/>
                <w:b w:val="0"/>
                <w:bCs/>
                <w:sz w:val="24"/>
                <w:szCs w:val="24"/>
                <w:highlight w:val="none"/>
                <w:lang w:val="en-US" w:eastAsia="zh-CN"/>
              </w:rPr>
              <w:t>1亿</w:t>
            </w:r>
            <w:r>
              <w:rPr>
                <w:rFonts w:hint="eastAsia" w:ascii="仿宋_GB2312" w:hAnsi="仿宋_GB2312" w:eastAsia="仿宋_GB2312" w:cs="仿宋_GB2312"/>
                <w:b w:val="0"/>
                <w:bCs/>
                <w:sz w:val="24"/>
                <w:szCs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担保方式</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收费权质押担保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抵押率</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质押率不超</w:t>
            </w:r>
            <w:r>
              <w:rPr>
                <w:rFonts w:hint="eastAsia" w:ascii="仿宋_GB2312" w:hAnsi="仿宋_GB2312" w:eastAsia="仿宋_GB2312" w:cs="仿宋_GB2312"/>
                <w:b w:val="0"/>
                <w:bCs/>
                <w:sz w:val="24"/>
                <w:szCs w:val="24"/>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贷款期限</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最长不超过10年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val="en-US" w:eastAsia="zh-CN"/>
              </w:rPr>
              <w:t>年利率</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总行统一定价，推广期实行优惠利率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还款方式</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一年内一次性还本按约还息，</w:t>
            </w:r>
            <w:r>
              <w:rPr>
                <w:rFonts w:hint="eastAsia" w:ascii="仿宋_GB2312" w:hAnsi="仿宋_GB2312" w:eastAsia="仿宋_GB2312" w:cs="仿宋_GB2312"/>
                <w:b w:val="0"/>
                <w:bCs/>
                <w:sz w:val="24"/>
                <w:szCs w:val="24"/>
                <w:highlight w:val="none"/>
                <w:lang w:val="en-US" w:eastAsia="zh-CN"/>
              </w:rPr>
              <w:t>1年以上分期还本付息</w:t>
            </w:r>
            <w:r>
              <w:rPr>
                <w:rFonts w:hint="eastAsia" w:ascii="仿宋_GB2312" w:hAnsi="仿宋_GB2312" w:eastAsia="仿宋_GB2312" w:cs="仿宋_GB2312"/>
                <w:b w:val="0"/>
                <w:bCs/>
                <w:sz w:val="24"/>
                <w:szCs w:val="24"/>
                <w:highlight w:val="none"/>
                <w:lang w:eastAsia="zh-CN"/>
              </w:rPr>
              <w:t>，</w:t>
            </w:r>
          </w:p>
        </w:tc>
      </w:tr>
    </w:tbl>
    <w:p>
      <w:pPr>
        <w:pStyle w:val="6"/>
        <w:keepNext/>
        <w:keepLines/>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0" w:leftChars="0" w:right="-286" w:rightChars="0" w:firstLine="562" w:firstLineChars="200"/>
        <w:jc w:val="both"/>
        <w:textAlignment w:val="auto"/>
        <w:outlineLvl w:val="2"/>
        <w:rPr>
          <w:rFonts w:hint="eastAsia"/>
          <w:highlight w:val="none"/>
          <w:lang w:val="en-US" w:eastAsia="zh-CN"/>
        </w:rPr>
      </w:pPr>
      <w:r>
        <w:rPr>
          <w:rFonts w:hint="eastAsia" w:ascii="楷体_GB2312" w:hAnsi="华文中宋" w:eastAsia="楷体_GB2312"/>
          <w:color w:val="000000"/>
          <w:szCs w:val="28"/>
          <w:highlight w:val="none"/>
          <w:lang w:val="en-US" w:eastAsia="zh-CN"/>
        </w:rPr>
        <w:t>B类客户—</w:t>
      </w:r>
      <w:r>
        <w:rPr>
          <w:rFonts w:hint="eastAsia" w:ascii="楷体_GB2312" w:eastAsia="楷体_GB2312"/>
          <w:sz w:val="28"/>
          <w:szCs w:val="28"/>
          <w:highlight w:val="none"/>
          <w:lang w:val="en-US" w:eastAsia="zh-CN"/>
        </w:rPr>
        <w:t>客户拥有住房、商铺、写字楼、工业厂房等可抵押资产。</w:t>
      </w:r>
    </w:p>
    <w:p>
      <w:pPr>
        <w:pStyle w:val="4"/>
        <w:pageBreakBefore w:val="0"/>
        <w:kinsoku/>
        <w:wordWrap/>
        <w:overflowPunct/>
        <w:topLinePunct w:val="0"/>
        <w:autoSpaceDE/>
        <w:autoSpaceDN/>
        <w:bidi w:val="0"/>
        <w:adjustRightInd/>
        <w:snapToGrid/>
        <w:spacing w:before="0" w:beforeLines="0" w:after="0" w:afterLines="0" w:line="540" w:lineRule="exact"/>
        <w:ind w:left="0" w:leftChars="0" w:firstLine="560" w:firstLineChars="200"/>
        <w:jc w:val="both"/>
        <w:textAlignment w:val="auto"/>
        <w:rPr>
          <w:rFonts w:hint="eastAsia" w:ascii="楷体_GB2312" w:eastAsia="楷体_GB2312"/>
          <w:sz w:val="28"/>
          <w:szCs w:val="28"/>
          <w:highlight w:val="none"/>
          <w:lang w:val="en-US" w:eastAsia="zh-CN"/>
        </w:rPr>
      </w:pPr>
      <w:bookmarkStart w:id="4" w:name="_Toc908"/>
      <w:r>
        <w:rPr>
          <w:rFonts w:hint="eastAsia" w:ascii="楷体_GB2312" w:eastAsia="楷体_GB2312"/>
          <w:sz w:val="28"/>
          <w:szCs w:val="28"/>
          <w:highlight w:val="none"/>
          <w:lang w:val="en-US" w:eastAsia="zh-CN"/>
        </w:rPr>
        <w:t>客户可根据抵押物价值，通过线上或线下方式，直接核定可融资额度，具体要素如下：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业务品种</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流动资金贷款、银行承兑汇票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贷款额度</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以抵押物价值直接核定额度，线上不超过1000万，线下不超过3000万元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担保方式</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足额抵押担保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抵押率</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居住用房，不超过70%；商业用房，不超过60%；办公用房，不超过50%；工业用房，不超过65%。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贷款期限</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一般不超过1年，最长不超过3年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年利率</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总行统一定价，推广期实行优惠利率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还款方式</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线上业务可随借随还；线下一次性还本按月还息</w:t>
            </w:r>
          </w:p>
        </w:tc>
      </w:tr>
      <w:bookmarkEnd w:id="4"/>
    </w:tbl>
    <w:p>
      <w:pPr>
        <w:pStyle w:val="6"/>
        <w:keepNext/>
        <w:keepLines/>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0" w:leftChars="0" w:right="0" w:rightChars="0" w:firstLine="562" w:firstLineChars="200"/>
        <w:jc w:val="both"/>
        <w:textAlignment w:val="auto"/>
        <w:outlineLvl w:val="2"/>
        <w:rPr>
          <w:rFonts w:hint="eastAsia" w:ascii="楷体_GB2312" w:hAnsi="华文中宋" w:eastAsia="楷体_GB2312"/>
          <w:color w:val="000000"/>
          <w:szCs w:val="28"/>
          <w:highlight w:val="none"/>
          <w:lang w:val="en-US" w:eastAsia="zh-CN"/>
        </w:rPr>
      </w:pPr>
      <w:r>
        <w:rPr>
          <w:rFonts w:hint="eastAsia" w:ascii="楷体_GB2312" w:hAnsi="华文中宋" w:eastAsia="楷体_GB2312"/>
          <w:color w:val="000000"/>
          <w:szCs w:val="28"/>
          <w:highlight w:val="none"/>
          <w:lang w:val="en-US" w:eastAsia="zh-CN"/>
        </w:rPr>
        <w:t>C类客户—客户无可抵押资产，但在农行开立对公账户并办理结算及代发工资业务、或有正常缴税记录及纳税等级证明。</w:t>
      </w:r>
    </w:p>
    <w:p>
      <w:pPr>
        <w:pStyle w:val="4"/>
        <w:pageBreakBefore w:val="0"/>
        <w:kinsoku/>
        <w:wordWrap/>
        <w:overflowPunct/>
        <w:topLinePunct w:val="0"/>
        <w:autoSpaceDE/>
        <w:autoSpaceDN/>
        <w:bidi w:val="0"/>
        <w:adjustRightInd/>
        <w:snapToGrid/>
        <w:spacing w:before="0" w:beforeLines="0" w:after="0" w:afterLines="0" w:line="540" w:lineRule="exact"/>
        <w:ind w:left="0" w:leftChars="0" w:right="0" w:rightChars="0" w:firstLine="560" w:firstLineChars="200"/>
        <w:jc w:val="both"/>
        <w:textAlignment w:val="auto"/>
        <w:rPr>
          <w:rFonts w:hint="eastAsia" w:ascii="楷体_GB2312" w:eastAsia="楷体_GB2312"/>
          <w:sz w:val="28"/>
          <w:szCs w:val="28"/>
          <w:highlight w:val="none"/>
          <w:lang w:val="en-US" w:eastAsia="zh-CN"/>
        </w:rPr>
      </w:pPr>
      <w:r>
        <w:rPr>
          <w:rFonts w:hint="eastAsia" w:ascii="楷体_GB2312" w:eastAsia="楷体_GB2312"/>
          <w:sz w:val="28"/>
          <w:szCs w:val="28"/>
          <w:highlight w:val="none"/>
          <w:lang w:val="en-US" w:eastAsia="zh-CN"/>
        </w:rPr>
        <w:t>客户可根据企业纳税额、我行对公账户结算额和代发工资额、净资产、上年度销售收入等，通过线上或线下方式，核定可融资额度，具体要素如下：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38"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业务品种</w:t>
            </w:r>
          </w:p>
        </w:tc>
        <w:tc>
          <w:tcPr>
            <w:tcW w:w="6522"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18"/>
                <w:szCs w:val="18"/>
                <w:highlight w:val="none"/>
                <w:lang w:eastAsia="zh-CN"/>
              </w:rPr>
            </w:pPr>
            <w:r>
              <w:rPr>
                <w:rFonts w:hint="eastAsia" w:ascii="仿宋_GB2312" w:hAnsi="仿宋_GB2312" w:eastAsia="仿宋_GB2312" w:cs="仿宋_GB2312"/>
                <w:b/>
                <w:sz w:val="24"/>
                <w:szCs w:val="24"/>
                <w:highlight w:val="none"/>
                <w:lang w:eastAsia="zh-CN"/>
              </w:rPr>
              <w:t>流动资金贷款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2038"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贷款额度</w:t>
            </w:r>
          </w:p>
        </w:tc>
        <w:tc>
          <w:tcPr>
            <w:tcW w:w="6522"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根据企业上年度缴税额、在我行公户结算额和代发工资额等核定可融资额度，总额不超过300万元。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38"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担保方式</w:t>
            </w:r>
          </w:p>
        </w:tc>
        <w:tc>
          <w:tcPr>
            <w:tcW w:w="6522"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信用方式用信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2038"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额度计算</w:t>
            </w:r>
          </w:p>
        </w:tc>
        <w:tc>
          <w:tcPr>
            <w:tcW w:w="6522"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根据企业纳税额、在我行对公账户结算额和代发工资额、净资产、上年度销售收入等核定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38"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贷款期限</w:t>
            </w:r>
          </w:p>
        </w:tc>
        <w:tc>
          <w:tcPr>
            <w:tcW w:w="6522"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038"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val="en-US" w:eastAsia="zh-CN"/>
              </w:rPr>
              <w:t>年利率</w:t>
            </w:r>
          </w:p>
        </w:tc>
        <w:tc>
          <w:tcPr>
            <w:tcW w:w="6522"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总行统一定价，推广期实行优惠利率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038"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还款方式</w:t>
            </w:r>
          </w:p>
        </w:tc>
        <w:tc>
          <w:tcPr>
            <w:tcW w:w="6522"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线上业务可随借随还；线下一次性还本按月还息</w:t>
            </w:r>
          </w:p>
        </w:tc>
      </w:tr>
    </w:tbl>
    <w:p>
      <w:pPr>
        <w:pStyle w:val="6"/>
        <w:keepNext/>
        <w:keepLines/>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0" w:leftChars="0" w:right="0" w:rightChars="0" w:firstLine="562" w:firstLineChars="200"/>
        <w:jc w:val="both"/>
        <w:textAlignment w:val="auto"/>
        <w:outlineLvl w:val="2"/>
        <w:rPr>
          <w:rFonts w:hint="eastAsia"/>
          <w:highlight w:val="none"/>
          <w:lang w:val="en-US" w:eastAsia="zh-CN"/>
        </w:rPr>
      </w:pPr>
      <w:r>
        <w:rPr>
          <w:rFonts w:hint="eastAsia" w:ascii="楷体_GB2312" w:hAnsi="华文中宋" w:eastAsia="楷体_GB2312"/>
          <w:color w:val="000000"/>
          <w:szCs w:val="28"/>
          <w:highlight w:val="none"/>
          <w:lang w:val="en-US" w:eastAsia="zh-CN"/>
        </w:rPr>
        <w:t>D类客户—</w:t>
      </w:r>
      <w:r>
        <w:rPr>
          <w:rFonts w:hint="eastAsia" w:ascii="楷体_GB2312" w:eastAsia="楷体_GB2312"/>
          <w:sz w:val="28"/>
          <w:szCs w:val="28"/>
          <w:highlight w:val="none"/>
          <w:lang w:val="en-US" w:eastAsia="zh-CN"/>
        </w:rPr>
        <w:t>客户无可抵押资产，未在农行开立对公账户，无缴税记录及纳税等级证明，但自身拥有知识产权资产。</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业务品种</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1"/>
                <w:szCs w:val="21"/>
                <w:highlight w:val="none"/>
                <w:lang w:eastAsia="zh-CN"/>
              </w:rPr>
            </w:pPr>
            <w:r>
              <w:rPr>
                <w:rFonts w:hint="eastAsia" w:ascii="仿宋_GB2312" w:hAnsi="仿宋_GB2312" w:eastAsia="仿宋_GB2312" w:cs="仿宋_GB2312"/>
                <w:b/>
                <w:sz w:val="24"/>
                <w:szCs w:val="24"/>
                <w:highlight w:val="none"/>
                <w:lang w:eastAsia="zh-CN"/>
              </w:rPr>
              <w:t>流动资金贷款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贷款额度</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单个企业贷款金额不超过300万元；从次年起单个企业贷款金额可提升至500万元。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担保方式</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20%保证金+80%保险增信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贷款期限</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val="en-US" w:eastAsia="zh-CN"/>
              </w:rPr>
              <w:t>年利率</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总行统一定价，推广期实行优惠利率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3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val="en-US" w:eastAsia="zh-CN"/>
              </w:rPr>
            </w:pPr>
            <w:r>
              <w:rPr>
                <w:rFonts w:hint="eastAsia" w:ascii="仿宋_GB2312" w:hAnsi="仿宋_GB2312" w:eastAsia="仿宋_GB2312" w:cs="仿宋_GB2312"/>
                <w:b/>
                <w:bCs w:val="0"/>
                <w:sz w:val="24"/>
                <w:szCs w:val="24"/>
                <w:highlight w:val="none"/>
                <w:lang w:val="en-US" w:eastAsia="zh-CN"/>
              </w:rPr>
              <w:t>还款方式</w:t>
            </w:r>
          </w:p>
        </w:tc>
        <w:tc>
          <w:tcPr>
            <w:tcW w:w="652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一次性还本按月还息</w:t>
            </w:r>
          </w:p>
        </w:tc>
      </w:tr>
    </w:tbl>
    <w:p>
      <w:pPr>
        <w:pStyle w:val="6"/>
        <w:keepNext/>
        <w:keepLines/>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0" w:leftChars="0" w:right="0" w:rightChars="0" w:firstLine="562" w:firstLineChars="200"/>
        <w:jc w:val="both"/>
        <w:textAlignment w:val="auto"/>
        <w:outlineLvl w:val="2"/>
        <w:rPr>
          <w:rFonts w:hint="eastAsia" w:ascii="楷体_GB2312" w:eastAsia="楷体_GB2312"/>
          <w:sz w:val="28"/>
          <w:szCs w:val="28"/>
          <w:highlight w:val="none"/>
          <w:lang w:val="en-US" w:eastAsia="zh-CN"/>
        </w:rPr>
      </w:pPr>
      <w:r>
        <w:rPr>
          <w:rFonts w:hint="eastAsia" w:ascii="楷体_GB2312" w:eastAsia="楷体_GB2312"/>
          <w:sz w:val="28"/>
          <w:szCs w:val="28"/>
          <w:highlight w:val="none"/>
          <w:lang w:val="en-US" w:eastAsia="zh-CN"/>
        </w:rPr>
        <w:t>E类客户—拥有其他金融质押品，获得政府采购、政府补贴、政府风险基金，贷款用于购买厂房写字楼等其他客户</w:t>
      </w:r>
      <w:bookmarkEnd w:id="3"/>
      <w:bookmarkStart w:id="5" w:name="_Toc9691"/>
    </w:p>
    <w:p>
      <w:pPr>
        <w:pStyle w:val="6"/>
        <w:keepNext/>
        <w:keepLines/>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0" w:leftChars="0" w:right="0" w:rightChars="0" w:firstLine="562" w:firstLineChars="200"/>
        <w:jc w:val="both"/>
        <w:textAlignment w:val="auto"/>
        <w:outlineLvl w:val="2"/>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1.金融资产质押贷款</w:t>
      </w:r>
      <w:bookmarkEnd w:id="5"/>
    </w:p>
    <w:p>
      <w:pPr>
        <w:pStyle w:val="4"/>
        <w:pageBreakBefore w:val="0"/>
        <w:kinsoku/>
        <w:wordWrap/>
        <w:overflowPunct/>
        <w:topLinePunct w:val="0"/>
        <w:autoSpaceDE/>
        <w:autoSpaceDN/>
        <w:bidi w:val="0"/>
        <w:adjustRightInd/>
        <w:snapToGrid/>
        <w:spacing w:before="0" w:beforeLines="0" w:after="0" w:afterLines="0" w:line="540" w:lineRule="exact"/>
        <w:ind w:left="0" w:leftChars="0" w:right="0" w:rightChars="0" w:firstLine="560" w:firstLineChars="200"/>
        <w:jc w:val="both"/>
        <w:textAlignment w:val="auto"/>
        <w:rPr>
          <w:rFonts w:hint="eastAsia" w:ascii="楷体_GB2312" w:eastAsia="楷体_GB2312"/>
          <w:sz w:val="28"/>
          <w:szCs w:val="28"/>
          <w:highlight w:val="none"/>
          <w:lang w:val="en-US" w:eastAsia="zh-CN"/>
        </w:rPr>
      </w:pPr>
      <w:r>
        <w:rPr>
          <w:rFonts w:hint="eastAsia" w:ascii="楷体_GB2312" w:eastAsia="楷体_GB2312"/>
          <w:sz w:val="28"/>
          <w:szCs w:val="28"/>
          <w:highlight w:val="none"/>
          <w:lang w:val="en-US" w:eastAsia="zh-CN"/>
        </w:rPr>
        <w:t>根据提供个人或公司金融资产（理财产品、定期存单、保单），在我行办理融资的信贷业务。</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43" w:type="dxa"/>
            <w:noWrap w:val="0"/>
            <w:vAlign w:val="center"/>
          </w:tcPr>
          <w:p>
            <w:pPr>
              <w:pStyle w:val="4"/>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val="0"/>
                <w:sz w:val="24"/>
                <w:szCs w:val="24"/>
                <w:highlight w:val="none"/>
              </w:rPr>
            </w:pPr>
            <w:r>
              <w:rPr>
                <w:rFonts w:hint="eastAsia" w:ascii="仿宋_GB2312" w:hAnsi="仿宋_GB2312" w:eastAsia="仿宋_GB2312" w:cs="仿宋_GB2312"/>
                <w:b/>
                <w:bCs w:val="0"/>
                <w:sz w:val="24"/>
                <w:szCs w:val="24"/>
                <w:highlight w:val="none"/>
                <w:lang w:eastAsia="zh-CN"/>
              </w:rPr>
              <w:t>产品要素</w:t>
            </w:r>
          </w:p>
        </w:tc>
        <w:tc>
          <w:tcPr>
            <w:tcW w:w="6796" w:type="dxa"/>
            <w:noWrap w:val="0"/>
            <w:vAlign w:val="center"/>
          </w:tcPr>
          <w:p>
            <w:pPr>
              <w:pStyle w:val="4"/>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43" w:type="dxa"/>
            <w:noWrap w:val="0"/>
            <w:vAlign w:val="center"/>
          </w:tcPr>
          <w:p>
            <w:pPr>
              <w:pStyle w:val="4"/>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贷款额度</w:t>
            </w:r>
          </w:p>
        </w:tc>
        <w:tc>
          <w:tcPr>
            <w:tcW w:w="6796" w:type="dxa"/>
            <w:noWrap w:val="0"/>
            <w:vAlign w:val="center"/>
          </w:tcPr>
          <w:p>
            <w:pPr>
              <w:pStyle w:val="4"/>
              <w:pageBreakBefore w:val="0"/>
              <w:kinsoku/>
              <w:wordWrap/>
              <w:overflowPunct/>
              <w:topLinePunct w:val="0"/>
              <w:autoSpaceDE/>
              <w:autoSpaceDN/>
              <w:bidi w:val="0"/>
              <w:adjustRightInd/>
              <w:snapToGrid/>
              <w:spacing w:line="54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综合考虑理财产品的风险等级和用信人信用等级，按理财产品本金（到期收益）70%-90%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43" w:type="dxa"/>
            <w:noWrap w:val="0"/>
            <w:vAlign w:val="center"/>
          </w:tcPr>
          <w:p>
            <w:pPr>
              <w:pStyle w:val="4"/>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贷款期限</w:t>
            </w:r>
          </w:p>
        </w:tc>
        <w:tc>
          <w:tcPr>
            <w:tcW w:w="6796" w:type="dxa"/>
            <w:noWrap w:val="0"/>
            <w:vAlign w:val="center"/>
          </w:tcPr>
          <w:p>
            <w:pPr>
              <w:pStyle w:val="4"/>
              <w:pageBreakBefore w:val="0"/>
              <w:kinsoku/>
              <w:wordWrap/>
              <w:overflowPunct/>
              <w:topLinePunct w:val="0"/>
              <w:autoSpaceDE/>
              <w:autoSpaceDN/>
              <w:bidi w:val="0"/>
              <w:adjustRightInd/>
              <w:snapToGrid/>
              <w:spacing w:line="54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最长不超过1年，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43" w:type="dxa"/>
            <w:noWrap w:val="0"/>
            <w:vAlign w:val="center"/>
          </w:tcPr>
          <w:p>
            <w:pPr>
              <w:pStyle w:val="4"/>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val="en-US" w:eastAsia="zh-CN"/>
              </w:rPr>
              <w:t>年利率</w:t>
            </w:r>
          </w:p>
        </w:tc>
        <w:tc>
          <w:tcPr>
            <w:tcW w:w="6796" w:type="dxa"/>
            <w:noWrap w:val="0"/>
            <w:vAlign w:val="center"/>
          </w:tcPr>
          <w:p>
            <w:pPr>
              <w:pStyle w:val="4"/>
              <w:pageBreakBefore w:val="0"/>
              <w:kinsoku/>
              <w:wordWrap/>
              <w:overflowPunct/>
              <w:topLinePunct w:val="0"/>
              <w:autoSpaceDE/>
              <w:autoSpaceDN/>
              <w:bidi w:val="0"/>
              <w:adjustRightInd/>
              <w:snapToGrid/>
              <w:spacing w:line="54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总行统一定价，推广期实行优惠利率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43" w:type="dxa"/>
            <w:noWrap w:val="0"/>
            <w:vAlign w:val="center"/>
          </w:tcPr>
          <w:p>
            <w:pPr>
              <w:pStyle w:val="4"/>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贷款用途</w:t>
            </w:r>
          </w:p>
        </w:tc>
        <w:tc>
          <w:tcPr>
            <w:tcW w:w="6796" w:type="dxa"/>
            <w:noWrap w:val="0"/>
            <w:vAlign w:val="center"/>
          </w:tcPr>
          <w:p>
            <w:pPr>
              <w:pStyle w:val="4"/>
              <w:pageBreakBefore w:val="0"/>
              <w:kinsoku/>
              <w:wordWrap/>
              <w:overflowPunct/>
              <w:topLinePunct w:val="0"/>
              <w:autoSpaceDE/>
              <w:autoSpaceDN/>
              <w:bidi w:val="0"/>
              <w:adjustRightInd/>
              <w:snapToGrid/>
              <w:spacing w:line="54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满足借款人在正常生产经营过程中的生产经营类信贷需求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543" w:type="dxa"/>
            <w:noWrap w:val="0"/>
            <w:vAlign w:val="center"/>
          </w:tcPr>
          <w:p>
            <w:pPr>
              <w:pStyle w:val="4"/>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用信</w:t>
            </w:r>
            <w:r>
              <w:rPr>
                <w:rFonts w:hint="eastAsia" w:ascii="仿宋_GB2312" w:hAnsi="仿宋_GB2312" w:eastAsia="仿宋_GB2312" w:cs="仿宋_GB2312"/>
                <w:b/>
                <w:bCs w:val="0"/>
                <w:sz w:val="24"/>
                <w:szCs w:val="24"/>
                <w:highlight w:val="none"/>
                <w:lang w:val="en-US" w:eastAsia="zh-CN"/>
              </w:rPr>
              <w:t>品种</w:t>
            </w:r>
          </w:p>
        </w:tc>
        <w:tc>
          <w:tcPr>
            <w:tcW w:w="6796" w:type="dxa"/>
            <w:noWrap w:val="0"/>
            <w:vAlign w:val="center"/>
          </w:tcPr>
          <w:p>
            <w:pPr>
              <w:pStyle w:val="4"/>
              <w:pageBreakBefore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包括流动贷款、贸易融资、票据承兑、保函、信用证等表内外融资业务</w:t>
            </w:r>
          </w:p>
        </w:tc>
      </w:tr>
    </w:tbl>
    <w:p>
      <w:pPr>
        <w:pStyle w:val="6"/>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200" w:right="-286"/>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 xml:space="preserve">   2.财政采购或补贴贷</w:t>
      </w:r>
    </w:p>
    <w:p>
      <w:pPr>
        <w:pStyle w:val="4"/>
        <w:pageBreakBefore w:val="0"/>
        <w:numPr>
          <w:ilvl w:val="0"/>
          <w:numId w:val="0"/>
        </w:numPr>
        <w:kinsoku/>
        <w:wordWrap/>
        <w:overflowPunct/>
        <w:topLinePunct w:val="0"/>
        <w:autoSpaceDE/>
        <w:autoSpaceDN/>
        <w:bidi w:val="0"/>
        <w:adjustRightInd/>
        <w:snapToGrid/>
        <w:spacing w:before="0" w:beforeLines="0" w:after="0" w:afterLines="0" w:line="540" w:lineRule="exact"/>
        <w:ind w:firstLine="560" w:firstLineChars="200"/>
        <w:jc w:val="both"/>
        <w:textAlignment w:val="auto"/>
        <w:rPr>
          <w:rFonts w:hint="eastAsia" w:ascii="楷体_GB2312" w:eastAsia="楷体_GB2312"/>
          <w:sz w:val="28"/>
          <w:szCs w:val="28"/>
          <w:highlight w:val="none"/>
          <w:lang w:val="en-US" w:eastAsia="zh-CN"/>
        </w:rPr>
      </w:pPr>
      <w:r>
        <w:rPr>
          <w:rFonts w:hint="eastAsia" w:ascii="楷体_GB2312" w:eastAsia="楷体_GB2312"/>
          <w:sz w:val="28"/>
          <w:szCs w:val="28"/>
          <w:highlight w:val="none"/>
          <w:lang w:val="en-US" w:eastAsia="zh-CN"/>
        </w:rPr>
        <w:t>是指对于获得政府财政资金扶持资格，或纳入政府风险补偿基金支持范围的科技型中小企业，或中标政府采购活动的供应商，在相应资金尚未到账的中小企业，我行以其未来可获得的扶持资金作为直接还款来源，向借款人提供短期融资支持的信贷业务。</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产品要素</w:t>
            </w:r>
          </w:p>
        </w:tc>
        <w:tc>
          <w:tcPr>
            <w:tcW w:w="701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贷款额度</w:t>
            </w:r>
          </w:p>
        </w:tc>
        <w:tc>
          <w:tcPr>
            <w:tcW w:w="7017"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最高不超过2000万，根据未来一段时期内企业由政府处获得的补贴确定额度。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贷款期限</w:t>
            </w:r>
          </w:p>
        </w:tc>
        <w:tc>
          <w:tcPr>
            <w:tcW w:w="7017"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最长不超过1年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贷款用途</w:t>
            </w:r>
          </w:p>
        </w:tc>
        <w:tc>
          <w:tcPr>
            <w:tcW w:w="7017"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满足借款人在正常生产经营过程中的生产经营类信贷需求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eastAsia="zh-CN"/>
              </w:rPr>
              <w:t>用信</w:t>
            </w:r>
            <w:r>
              <w:rPr>
                <w:rFonts w:hint="eastAsia" w:ascii="仿宋_GB2312" w:hAnsi="仿宋_GB2312" w:eastAsia="仿宋_GB2312" w:cs="仿宋_GB2312"/>
                <w:b/>
                <w:bCs w:val="0"/>
                <w:sz w:val="24"/>
                <w:szCs w:val="24"/>
                <w:highlight w:val="none"/>
                <w:lang w:val="en-US" w:eastAsia="zh-CN"/>
              </w:rPr>
              <w:t>品种</w:t>
            </w:r>
          </w:p>
        </w:tc>
        <w:tc>
          <w:tcPr>
            <w:tcW w:w="7017"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包括流动贷款、贸易融资、票据承兑、保函、信用证等表内外融资业务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sz w:val="24"/>
                <w:szCs w:val="24"/>
                <w:highlight w:val="none"/>
                <w:lang w:eastAsia="zh-CN"/>
              </w:rPr>
            </w:pPr>
            <w:r>
              <w:rPr>
                <w:rFonts w:hint="eastAsia" w:ascii="仿宋_GB2312" w:hAnsi="仿宋_GB2312" w:eastAsia="仿宋_GB2312" w:cs="仿宋_GB2312"/>
                <w:b/>
                <w:bCs w:val="0"/>
                <w:sz w:val="24"/>
                <w:szCs w:val="24"/>
                <w:highlight w:val="none"/>
                <w:lang w:val="en-US" w:eastAsia="zh-CN"/>
              </w:rPr>
              <w:t>担保方式</w:t>
            </w:r>
          </w:p>
        </w:tc>
        <w:tc>
          <w:tcPr>
            <w:tcW w:w="7017"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信用方式，同时追加借款人主要个人股东、实际控制人连带责任保证担保，且不得低于工中建交的担保条件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5"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还款方式</w:t>
            </w:r>
          </w:p>
        </w:tc>
        <w:tc>
          <w:tcPr>
            <w:tcW w:w="7017"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可采用一次性还本付息，或一次还本、分期付息，或分期还本付息等还款方式</w:t>
            </w:r>
          </w:p>
        </w:tc>
      </w:tr>
    </w:tbl>
    <w:p>
      <w:pPr>
        <w:pStyle w:val="6"/>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200" w:right="-286"/>
        <w:jc w:val="both"/>
        <w:textAlignment w:val="auto"/>
        <w:rPr>
          <w:rFonts w:hint="eastAsia" w:ascii="仿宋" w:hAnsi="仿宋" w:eastAsia="仿宋" w:cs="仿宋"/>
          <w:color w:val="000000"/>
          <w:sz w:val="28"/>
          <w:szCs w:val="28"/>
          <w:highlight w:val="none"/>
          <w:lang w:val="en-US" w:eastAsia="zh-CN"/>
        </w:rPr>
      </w:pPr>
      <w:bookmarkStart w:id="6" w:name="_Toc24420"/>
      <w:r>
        <w:rPr>
          <w:rFonts w:hint="eastAsia" w:ascii="仿宋" w:hAnsi="仿宋" w:eastAsia="仿宋" w:cs="仿宋"/>
          <w:color w:val="000000"/>
          <w:sz w:val="28"/>
          <w:szCs w:val="28"/>
          <w:highlight w:val="none"/>
          <w:lang w:val="en-US" w:eastAsia="zh-CN"/>
        </w:rPr>
        <w:t xml:space="preserve">   3.商业物业置业贷</w:t>
      </w:r>
      <w:bookmarkEnd w:id="6"/>
    </w:p>
    <w:p>
      <w:pPr>
        <w:pStyle w:val="4"/>
        <w:pageBreakBefore w:val="0"/>
        <w:kinsoku/>
        <w:wordWrap/>
        <w:overflowPunct/>
        <w:topLinePunct w:val="0"/>
        <w:autoSpaceDE/>
        <w:autoSpaceDN/>
        <w:bidi w:val="0"/>
        <w:adjustRightInd/>
        <w:snapToGrid/>
        <w:spacing w:before="0" w:beforeLines="0" w:after="0" w:afterLines="0" w:line="540" w:lineRule="exact"/>
        <w:ind w:firstLine="560" w:firstLineChars="200"/>
        <w:jc w:val="both"/>
        <w:textAlignment w:val="auto"/>
        <w:rPr>
          <w:rFonts w:hint="eastAsia" w:ascii="楷体_GB2312" w:eastAsia="楷体_GB2312"/>
          <w:sz w:val="28"/>
          <w:szCs w:val="28"/>
          <w:highlight w:val="none"/>
          <w:lang w:val="en-US" w:eastAsia="zh-CN"/>
        </w:rPr>
      </w:pPr>
      <w:r>
        <w:rPr>
          <w:rFonts w:hint="eastAsia" w:ascii="楷体_GB2312" w:eastAsia="楷体_GB2312"/>
          <w:sz w:val="28"/>
          <w:szCs w:val="28"/>
          <w:highlight w:val="none"/>
          <w:lang w:val="en-US" w:eastAsia="zh-CN"/>
        </w:rPr>
        <w:t>商业物业置业贷是指我行为小微企业购置商业物业进行生产经营提供的贷款期限不超过10年的按揭贷款融资业务产品。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6"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产品要素</w:t>
            </w:r>
          </w:p>
        </w:tc>
        <w:tc>
          <w:tcPr>
            <w:tcW w:w="7096"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exact"/>
          <w:jc w:val="center"/>
        </w:trPr>
        <w:tc>
          <w:tcPr>
            <w:tcW w:w="1426"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贷款额度</w:t>
            </w:r>
          </w:p>
        </w:tc>
        <w:tc>
          <w:tcPr>
            <w:tcW w:w="7096"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1.可根据提供的担保直接进行授信并同时办理单笔信贷业务；</w:t>
            </w:r>
          </w:p>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2.最高不超过拟抵押商业物业评估价值的50%，单户贷款金额最高不超过3000万元。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6"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贷款期限</w:t>
            </w:r>
          </w:p>
        </w:tc>
        <w:tc>
          <w:tcPr>
            <w:tcW w:w="7096"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原则上不超过8年，最长不超过10年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6"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贷款用途</w:t>
            </w:r>
          </w:p>
        </w:tc>
        <w:tc>
          <w:tcPr>
            <w:tcW w:w="7096"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用于小微企业购置商业物业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26"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用信</w:t>
            </w:r>
            <w:r>
              <w:rPr>
                <w:rFonts w:hint="eastAsia" w:ascii="仿宋_GB2312" w:hAnsi="仿宋_GB2312" w:eastAsia="仿宋_GB2312" w:cs="仿宋_GB2312"/>
                <w:b w:val="0"/>
                <w:bCs/>
                <w:sz w:val="24"/>
                <w:szCs w:val="24"/>
                <w:highlight w:val="none"/>
                <w:lang w:val="en-US" w:eastAsia="zh-CN"/>
              </w:rPr>
              <w:t>品种</w:t>
            </w:r>
          </w:p>
        </w:tc>
        <w:tc>
          <w:tcPr>
            <w:tcW w:w="7096"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固定资产贷款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jc w:val="center"/>
        </w:trPr>
        <w:tc>
          <w:tcPr>
            <w:tcW w:w="1426"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担保方式</w:t>
            </w:r>
          </w:p>
        </w:tc>
        <w:tc>
          <w:tcPr>
            <w:tcW w:w="7096"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1.一手商业物业：开发商阶段性连带责任+商业物业抵押，开发商须缴纳不低于贷款金额10%的回购保证金；</w:t>
            </w:r>
          </w:p>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2.二手商业物业：商业物业抵押；</w:t>
            </w:r>
          </w:p>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eastAsia="zh-CN"/>
              </w:rPr>
              <w:t>3.应同时追加小微企业客户主要投资人或实际控制人的连带责任保证担保。</w:t>
            </w:r>
          </w:p>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p>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p>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br w:type="textWrapping"/>
            </w:r>
          </w:p>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426"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还款方式</w:t>
            </w:r>
          </w:p>
        </w:tc>
        <w:tc>
          <w:tcPr>
            <w:tcW w:w="7096"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1.贷款期限在1年（含）以内的，</w:t>
            </w:r>
            <w:r>
              <w:rPr>
                <w:rFonts w:hint="eastAsia" w:ascii="仿宋_GB2312" w:hAnsi="仿宋_GB2312" w:eastAsia="仿宋_GB2312" w:cs="仿宋_GB2312"/>
                <w:b/>
                <w:bCs w:val="0"/>
                <w:sz w:val="24"/>
                <w:szCs w:val="24"/>
                <w:highlight w:val="none"/>
                <w:lang w:eastAsia="zh-CN"/>
              </w:rPr>
              <w:t>可</w:t>
            </w:r>
            <w:r>
              <w:rPr>
                <w:rFonts w:hint="eastAsia" w:ascii="仿宋_GB2312" w:hAnsi="仿宋_GB2312" w:eastAsia="仿宋_GB2312" w:cs="仿宋_GB2312"/>
                <w:b w:val="0"/>
                <w:bCs/>
                <w:sz w:val="24"/>
                <w:szCs w:val="24"/>
                <w:highlight w:val="none"/>
                <w:lang w:eastAsia="zh-CN"/>
              </w:rPr>
              <w:t>采用按月或按季还本付息方式；</w:t>
            </w:r>
          </w:p>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2.贷款期限在1年（不含）以上的，借款人</w:t>
            </w:r>
            <w:r>
              <w:rPr>
                <w:rFonts w:hint="eastAsia" w:ascii="仿宋_GB2312" w:hAnsi="仿宋_GB2312" w:eastAsia="仿宋_GB2312" w:cs="仿宋_GB2312"/>
                <w:b/>
                <w:bCs w:val="0"/>
                <w:sz w:val="24"/>
                <w:szCs w:val="24"/>
                <w:highlight w:val="none"/>
                <w:lang w:eastAsia="zh-CN"/>
              </w:rPr>
              <w:t>须</w:t>
            </w:r>
            <w:r>
              <w:rPr>
                <w:rFonts w:hint="eastAsia" w:ascii="仿宋_GB2312" w:hAnsi="仿宋_GB2312" w:eastAsia="仿宋_GB2312" w:cs="仿宋_GB2312"/>
                <w:b w:val="0"/>
                <w:bCs/>
                <w:sz w:val="24"/>
                <w:szCs w:val="24"/>
                <w:highlight w:val="none"/>
                <w:lang w:eastAsia="zh-CN"/>
              </w:rPr>
              <w:t>按月还本付息。</w:t>
            </w:r>
          </w:p>
        </w:tc>
      </w:tr>
    </w:tbl>
    <w:p>
      <w:pPr>
        <w:pStyle w:val="6"/>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200" w:right="-286"/>
        <w:jc w:val="both"/>
        <w:textAlignment w:val="auto"/>
        <w:rPr>
          <w:rFonts w:hint="eastAsia" w:ascii="楷体_GB2312" w:hAnsi="楷体_GB2312" w:eastAsia="楷体_GB2312" w:cs="仿宋"/>
          <w:b w:val="0"/>
          <w:bCs/>
          <w:color w:val="000000"/>
          <w:sz w:val="32"/>
          <w:szCs w:val="32"/>
          <w:highlight w:val="none"/>
          <w:lang w:val="en-US" w:eastAsia="zh-CN"/>
        </w:rPr>
      </w:pPr>
      <w:r>
        <w:rPr>
          <w:rFonts w:hint="eastAsia" w:ascii="楷体_GB2312" w:hAnsi="楷体_GB2312" w:eastAsia="楷体_GB2312" w:cs="仿宋"/>
          <w:b w:val="0"/>
          <w:bCs/>
          <w:color w:val="000000"/>
          <w:sz w:val="32"/>
          <w:szCs w:val="32"/>
          <w:highlight w:val="none"/>
          <w:lang w:val="en-US" w:eastAsia="zh-CN"/>
        </w:rPr>
        <w:t xml:space="preserve">  （二）个人类线下融资业务</w:t>
      </w:r>
      <w:bookmarkEnd w:id="2"/>
    </w:p>
    <w:p>
      <w:pPr>
        <w:pStyle w:val="6"/>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200" w:right="-286"/>
        <w:jc w:val="both"/>
        <w:textAlignment w:val="auto"/>
        <w:rPr>
          <w:rFonts w:hint="eastAsia" w:ascii="楷体_GB2312" w:hAnsi="华文中宋" w:eastAsia="楷体_GB2312"/>
          <w:b/>
          <w:color w:val="000000"/>
          <w:szCs w:val="28"/>
          <w:highlight w:val="none"/>
          <w:lang w:val="en-US" w:eastAsia="zh-CN"/>
        </w:rPr>
      </w:pPr>
      <w:bookmarkStart w:id="7" w:name="_Toc22924"/>
      <w:bookmarkStart w:id="8" w:name="_Toc4898"/>
      <w:r>
        <w:rPr>
          <w:rFonts w:hint="eastAsia" w:ascii="楷体_GB2312" w:hAnsi="华文中宋" w:eastAsia="楷体_GB2312"/>
          <w:color w:val="000000"/>
          <w:szCs w:val="28"/>
          <w:highlight w:val="none"/>
          <w:lang w:val="en-US" w:eastAsia="zh-CN"/>
        </w:rPr>
        <w:t xml:space="preserve">   1、</w:t>
      </w:r>
      <w:r>
        <w:rPr>
          <w:rFonts w:hint="eastAsia" w:ascii="楷体_GB2312" w:hAnsi="华文中宋" w:eastAsia="楷体_GB2312"/>
          <w:color w:val="000000"/>
          <w:szCs w:val="28"/>
          <w:highlight w:val="none"/>
          <w:lang w:eastAsia="zh-CN"/>
        </w:rPr>
        <w:t>线上融资业务</w:t>
      </w:r>
      <w:bookmarkEnd w:id="7"/>
      <w:bookmarkStart w:id="9" w:name="_Toc22469"/>
      <w:r>
        <w:rPr>
          <w:rFonts w:hint="eastAsia" w:ascii="楷体_GB2312" w:hAnsi="华文中宋" w:eastAsia="楷体_GB2312"/>
          <w:color w:val="000000"/>
          <w:szCs w:val="28"/>
          <w:highlight w:val="none"/>
          <w:lang w:val="en-US" w:eastAsia="zh-CN"/>
        </w:rPr>
        <w:t>-</w:t>
      </w:r>
      <w:r>
        <w:rPr>
          <w:rFonts w:hint="eastAsia" w:ascii="楷体_GB2312" w:hAnsi="华文中宋" w:eastAsia="楷体_GB2312"/>
          <w:b/>
          <w:color w:val="000000"/>
          <w:szCs w:val="28"/>
          <w:highlight w:val="none"/>
          <w:lang w:val="en-US" w:eastAsia="zh-CN"/>
        </w:rPr>
        <w:t>助业快E贷</w:t>
      </w:r>
      <w:bookmarkEnd w:id="9"/>
    </w:p>
    <w:p>
      <w:pPr>
        <w:pStyle w:val="4"/>
        <w:pageBreakBefore w:val="0"/>
        <w:kinsoku/>
        <w:wordWrap/>
        <w:overflowPunct/>
        <w:topLinePunct w:val="0"/>
        <w:autoSpaceDE/>
        <w:autoSpaceDN/>
        <w:bidi w:val="0"/>
        <w:adjustRightInd/>
        <w:snapToGrid/>
        <w:spacing w:before="0" w:beforeLines="0" w:after="0" w:afterLines="0" w:line="540" w:lineRule="exact"/>
        <w:ind w:firstLine="560" w:firstLineChars="200"/>
        <w:jc w:val="both"/>
        <w:textAlignment w:val="auto"/>
        <w:rPr>
          <w:rFonts w:hint="eastAsia" w:ascii="楷体_GB2312" w:eastAsia="楷体_GB2312"/>
          <w:sz w:val="28"/>
          <w:szCs w:val="28"/>
          <w:highlight w:val="none"/>
          <w:lang w:val="en-US" w:eastAsia="zh-CN"/>
        </w:rPr>
      </w:pPr>
      <w:r>
        <w:rPr>
          <w:rFonts w:hint="eastAsia" w:ascii="楷体_GB2312" w:eastAsia="楷体_GB2312"/>
          <w:sz w:val="28"/>
          <w:szCs w:val="28"/>
          <w:highlight w:val="none"/>
          <w:lang w:val="en-US" w:eastAsia="zh-CN"/>
        </w:rPr>
        <w:t>助业快E贷是指我行向税收管理部门依法纳税、纳税信用评价高的个体工商户和小微企业主提供的额度在50万元以内，期限最长1年的个人线上融资业务。</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产品要素</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贷款额度</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单户最高不超过</w:t>
            </w:r>
            <w:r>
              <w:rPr>
                <w:rFonts w:hint="eastAsia" w:ascii="仿宋_GB2312" w:hAnsi="仿宋_GB2312" w:eastAsia="仿宋_GB2312" w:cs="仿宋_GB2312"/>
                <w:b w:val="0"/>
                <w:bCs/>
                <w:sz w:val="24"/>
                <w:szCs w:val="24"/>
                <w:highlight w:val="none"/>
                <w:lang w:val="en-US" w:eastAsia="zh-CN"/>
              </w:rPr>
              <w:t>50</w:t>
            </w:r>
            <w:r>
              <w:rPr>
                <w:rFonts w:hint="eastAsia" w:ascii="仿宋_GB2312" w:hAnsi="仿宋_GB2312" w:eastAsia="仿宋_GB2312" w:cs="仿宋_GB2312"/>
                <w:b w:val="0"/>
                <w:bCs/>
                <w:sz w:val="24"/>
                <w:szCs w:val="24"/>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贷款期限</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最长不超过1年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利率</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总行统一定价，推广期实行优惠利率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担保方式</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信用方式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还款方式</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随借随还、按日计息，按月付息，到期一次性还本；</w:t>
            </w:r>
          </w:p>
        </w:tc>
      </w:tr>
    </w:tbl>
    <w:p>
      <w:pPr>
        <w:pStyle w:val="6"/>
        <w:pageBreakBefore w:val="0"/>
        <w:widowControl/>
        <w:numPr>
          <w:ilvl w:val="2"/>
          <w:numId w:val="0"/>
        </w:numPr>
        <w:kinsoku/>
        <w:wordWrap/>
        <w:overflowPunct/>
        <w:topLinePunct w:val="0"/>
        <w:autoSpaceDE/>
        <w:autoSpaceDN/>
        <w:bidi w:val="0"/>
        <w:adjustRightInd/>
        <w:snapToGrid/>
        <w:spacing w:before="0" w:beforeLines="0" w:after="0" w:afterLines="0" w:line="540" w:lineRule="exact"/>
        <w:ind w:left="200" w:right="-286"/>
        <w:jc w:val="both"/>
        <w:textAlignment w:val="auto"/>
        <w:rPr>
          <w:rFonts w:hint="eastAsia" w:ascii="楷体_GB2312" w:hAnsi="华文中宋" w:eastAsia="楷体_GB2312"/>
          <w:b/>
          <w:color w:val="000000"/>
          <w:szCs w:val="28"/>
          <w:highlight w:val="none"/>
          <w:lang w:val="en-US" w:eastAsia="zh-CN"/>
        </w:rPr>
      </w:pPr>
      <w:r>
        <w:rPr>
          <w:rFonts w:hint="eastAsia" w:ascii="楷体_GB2312" w:hAnsi="华文中宋" w:eastAsia="楷体_GB2312"/>
          <w:color w:val="000000"/>
          <w:szCs w:val="28"/>
          <w:highlight w:val="none"/>
          <w:lang w:val="en-US" w:eastAsia="zh-CN"/>
        </w:rPr>
        <w:t xml:space="preserve">   2、</w:t>
      </w:r>
      <w:r>
        <w:rPr>
          <w:rFonts w:hint="eastAsia" w:ascii="楷体_GB2312" w:hAnsi="华文中宋" w:eastAsia="楷体_GB2312"/>
          <w:color w:val="000000"/>
          <w:szCs w:val="28"/>
          <w:highlight w:val="none"/>
          <w:lang w:eastAsia="zh-CN"/>
        </w:rPr>
        <w:t>线下融资业务</w:t>
      </w:r>
      <w:bookmarkStart w:id="10" w:name="_Toc24282"/>
      <w:r>
        <w:rPr>
          <w:rFonts w:hint="eastAsia" w:ascii="楷体_GB2312" w:hAnsi="华文中宋" w:eastAsia="楷体_GB2312"/>
          <w:b/>
          <w:color w:val="000000"/>
          <w:szCs w:val="28"/>
          <w:highlight w:val="none"/>
          <w:lang w:val="en-US" w:eastAsia="zh-CN"/>
        </w:rPr>
        <w:drawing>
          <wp:anchor distT="0" distB="0" distL="114300" distR="114300" simplePos="0" relativeHeight="251663360" behindDoc="0" locked="0" layoutInCell="1" allowOverlap="1">
            <wp:simplePos x="0" y="0"/>
            <wp:positionH relativeFrom="column">
              <wp:posOffset>-769620</wp:posOffset>
            </wp:positionH>
            <wp:positionV relativeFrom="paragraph">
              <wp:posOffset>-448945</wp:posOffset>
            </wp:positionV>
            <wp:extent cx="388620" cy="349250"/>
            <wp:effectExtent l="0" t="0" r="11430" b="12700"/>
            <wp:wrapNone/>
            <wp:docPr id="2" name="图片 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无标题"/>
                    <pic:cNvPicPr>
                      <a:picLocks noChangeAspect="1"/>
                    </pic:cNvPicPr>
                  </pic:nvPicPr>
                  <pic:blipFill>
                    <a:blip r:embed="rId4"/>
                    <a:stretch>
                      <a:fillRect/>
                    </a:stretch>
                  </pic:blipFill>
                  <pic:spPr>
                    <a:xfrm>
                      <a:off x="0" y="0"/>
                      <a:ext cx="388620" cy="349250"/>
                    </a:xfrm>
                    <a:prstGeom prst="rect">
                      <a:avLst/>
                    </a:prstGeom>
                    <a:noFill/>
                    <a:ln>
                      <a:noFill/>
                    </a:ln>
                  </pic:spPr>
                </pic:pic>
              </a:graphicData>
            </a:graphic>
          </wp:anchor>
        </w:drawing>
      </w:r>
      <w:r>
        <w:rPr>
          <w:rFonts w:hint="eastAsia" w:ascii="楷体_GB2312" w:hAnsi="华文中宋" w:eastAsia="楷体_GB2312"/>
          <w:color w:val="000000"/>
          <w:szCs w:val="28"/>
          <w:highlight w:val="none"/>
          <w:lang w:val="en-US" w:eastAsia="zh-CN"/>
        </w:rPr>
        <w:t>-</w:t>
      </w:r>
      <w:r>
        <w:rPr>
          <w:rFonts w:hint="eastAsia" w:ascii="楷体_GB2312" w:hAnsi="华文中宋" w:eastAsia="楷体_GB2312"/>
          <w:b/>
          <w:color w:val="000000"/>
          <w:szCs w:val="28"/>
          <w:highlight w:val="none"/>
          <w:lang w:val="en-US" w:eastAsia="zh-CN"/>
        </w:rPr>
        <w:t>个人生产经营贷款</w:t>
      </w:r>
      <w:bookmarkEnd w:id="10"/>
    </w:p>
    <w:p>
      <w:pPr>
        <w:pStyle w:val="4"/>
        <w:pageBreakBefore w:val="0"/>
        <w:kinsoku/>
        <w:wordWrap/>
        <w:overflowPunct/>
        <w:topLinePunct w:val="0"/>
        <w:autoSpaceDE/>
        <w:autoSpaceDN/>
        <w:bidi w:val="0"/>
        <w:adjustRightInd/>
        <w:snapToGrid/>
        <w:spacing w:before="0" w:beforeLines="0" w:after="0" w:afterLines="0" w:line="540" w:lineRule="exact"/>
        <w:ind w:firstLine="567"/>
        <w:jc w:val="both"/>
        <w:textAlignment w:val="auto"/>
        <w:rPr>
          <w:rFonts w:hint="eastAsia" w:ascii="楷体_GB2312" w:eastAsia="楷体_GB2312"/>
          <w:sz w:val="28"/>
          <w:szCs w:val="28"/>
          <w:highlight w:val="none"/>
          <w:lang w:val="en-US" w:eastAsia="zh-CN"/>
        </w:rPr>
      </w:pPr>
      <w:r>
        <w:rPr>
          <w:rFonts w:hint="eastAsia" w:ascii="楷体_GB2312" w:eastAsia="楷体_GB2312"/>
          <w:sz w:val="28"/>
          <w:szCs w:val="28"/>
          <w:highlight w:val="none"/>
          <w:lang w:val="en-US" w:eastAsia="zh-CN"/>
        </w:rPr>
        <w:drawing>
          <wp:anchor distT="0" distB="0" distL="114300" distR="114300" simplePos="0" relativeHeight="251664384" behindDoc="0" locked="0" layoutInCell="1" allowOverlap="1">
            <wp:simplePos x="0" y="0"/>
            <wp:positionH relativeFrom="column">
              <wp:posOffset>-769620</wp:posOffset>
            </wp:positionH>
            <wp:positionV relativeFrom="paragraph">
              <wp:posOffset>-448945</wp:posOffset>
            </wp:positionV>
            <wp:extent cx="388620" cy="349250"/>
            <wp:effectExtent l="0" t="0" r="11430" b="12700"/>
            <wp:wrapNone/>
            <wp:docPr id="1" name="图片 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无标题"/>
                    <pic:cNvPicPr>
                      <a:picLocks noChangeAspect="1"/>
                    </pic:cNvPicPr>
                  </pic:nvPicPr>
                  <pic:blipFill>
                    <a:blip r:embed="rId4"/>
                    <a:stretch>
                      <a:fillRect/>
                    </a:stretch>
                  </pic:blipFill>
                  <pic:spPr>
                    <a:xfrm>
                      <a:off x="0" y="0"/>
                      <a:ext cx="388620" cy="349250"/>
                    </a:xfrm>
                    <a:prstGeom prst="rect">
                      <a:avLst/>
                    </a:prstGeom>
                    <a:noFill/>
                    <a:ln>
                      <a:noFill/>
                    </a:ln>
                  </pic:spPr>
                </pic:pic>
              </a:graphicData>
            </a:graphic>
          </wp:anchor>
        </w:drawing>
      </w:r>
      <w:r>
        <w:rPr>
          <w:rFonts w:hint="eastAsia" w:ascii="楷体_GB2312" w:eastAsia="楷体_GB2312"/>
          <w:sz w:val="28"/>
          <w:szCs w:val="28"/>
          <w:highlight w:val="none"/>
          <w:lang w:val="en-US" w:eastAsia="zh-CN"/>
        </w:rPr>
        <w:t>个人生产经营贷款是指我行向具有中华人民共和国国籍，从事合法生产经营活动的个体工商户和小微企业主提供的最高额度10000万元，期限最长10年的个人生产经营性贷款业务。</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产品要素</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eastAsia="zh-CN"/>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贷款额度</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且单户最高不超过</w:t>
            </w:r>
            <w:r>
              <w:rPr>
                <w:rFonts w:hint="eastAsia" w:ascii="仿宋_GB2312" w:hAnsi="仿宋_GB2312" w:eastAsia="仿宋_GB2312" w:cs="仿宋_GB2312"/>
                <w:b w:val="0"/>
                <w:bCs/>
                <w:sz w:val="24"/>
                <w:szCs w:val="24"/>
                <w:highlight w:val="none"/>
                <w:lang w:val="en-US" w:eastAsia="zh-CN"/>
              </w:rPr>
              <w:t>10</w:t>
            </w:r>
            <w:r>
              <w:rPr>
                <w:rFonts w:hint="eastAsia" w:ascii="仿宋_GB2312" w:hAnsi="仿宋_GB2312" w:eastAsia="仿宋_GB2312" w:cs="仿宋_GB2312"/>
                <w:b w:val="0"/>
                <w:bCs/>
                <w:sz w:val="24"/>
                <w:szCs w:val="24"/>
                <w:highlight w:val="none"/>
                <w:lang w:eastAsia="zh-CN"/>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贷款期限</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最长不超过10年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贷款用途</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满足个体工商户和小微企业主产生过程的流动资金需要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利率</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总行统一定价，推广期实行优惠利率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val="en-US" w:eastAsia="zh-CN"/>
              </w:rPr>
              <w:t>担保方式</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房地产抵押担保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8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还款方式</w:t>
            </w:r>
          </w:p>
        </w:tc>
        <w:tc>
          <w:tcPr>
            <w:tcW w:w="6642" w:type="dxa"/>
            <w:noWrap w:val="0"/>
            <w:vAlign w:val="center"/>
          </w:tcPr>
          <w:p>
            <w:pPr>
              <w:pStyle w:val="4"/>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贷款期限在一年以内（含）的，可采用按月还息到期还本的方式；贷款期限在一年以上的，可采用按月等额本息或等本递减还款的方式。</w:t>
            </w:r>
          </w:p>
        </w:tc>
      </w:tr>
      <w:bookmarkEnd w:id="8"/>
    </w:tbl>
    <w:p>
      <w:pPr>
        <w:pStyle w:val="4"/>
        <w:pageBreakBefore w:val="0"/>
        <w:kinsoku/>
        <w:wordWrap/>
        <w:overflowPunct/>
        <w:topLinePunct w:val="0"/>
        <w:autoSpaceDE/>
        <w:autoSpaceDN/>
        <w:bidi w:val="0"/>
        <w:adjustRightInd/>
        <w:snapToGrid/>
        <w:spacing w:line="560" w:lineRule="exact"/>
        <w:ind w:firstLine="600"/>
        <w:textAlignment w:val="auto"/>
        <w:rPr>
          <w:rFonts w:hint="eastAsia" w:ascii="楷体_GB2312" w:eastAsia="楷体_GB2312"/>
          <w:sz w:val="28"/>
          <w:szCs w:val="28"/>
          <w:highlight w:val="none"/>
          <w:lang w:val="en-US" w:eastAsia="zh-CN"/>
        </w:rPr>
      </w:pPr>
    </w:p>
    <w:p>
      <w:pPr>
        <w:pStyle w:val="4"/>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附表</w:t>
      </w:r>
    </w:p>
    <w:p>
      <w:pPr>
        <w:pStyle w:val="4"/>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highlight w:val="none"/>
          <w:lang w:eastAsia="zh-CN"/>
        </w:rPr>
      </w:pPr>
    </w:p>
    <w:p>
      <w:pPr>
        <w:pStyle w:val="4"/>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sz w:val="44"/>
          <w:szCs w:val="32"/>
          <w:highlight w:val="none"/>
        </w:rPr>
      </w:pPr>
      <w:r>
        <w:rPr>
          <w:rFonts w:hint="eastAsia" w:ascii="方正小标宋简体" w:hAnsi="方正小标宋简体" w:eastAsia="方正小标宋简体"/>
          <w:sz w:val="44"/>
          <w:szCs w:val="32"/>
          <w:highlight w:val="none"/>
        </w:rPr>
        <w:t>佛山市各区</w:t>
      </w:r>
      <w:r>
        <w:rPr>
          <w:rFonts w:hint="eastAsia" w:ascii="方正小标宋简体" w:hAnsi="方正小标宋简体" w:eastAsia="方正小标宋简体"/>
          <w:sz w:val="44"/>
          <w:szCs w:val="32"/>
          <w:highlight w:val="none"/>
          <w:lang w:val="en-US" w:eastAsia="zh-CN"/>
        </w:rPr>
        <w:t>农业</w:t>
      </w:r>
      <w:r>
        <w:rPr>
          <w:rFonts w:hint="eastAsia" w:ascii="方正小标宋简体" w:hAnsi="方正小标宋简体" w:eastAsia="方正小标宋简体"/>
          <w:sz w:val="44"/>
          <w:szCs w:val="32"/>
          <w:highlight w:val="none"/>
          <w:lang w:eastAsia="zh-CN"/>
        </w:rPr>
        <w:t>银行</w:t>
      </w:r>
      <w:r>
        <w:rPr>
          <w:rFonts w:hint="eastAsia" w:ascii="方正小标宋简体" w:hAnsi="方正小标宋简体" w:eastAsia="方正小标宋简体"/>
          <w:sz w:val="44"/>
          <w:szCs w:val="32"/>
          <w:highlight w:val="none"/>
        </w:rPr>
        <w:t>主要对接人名单</w:t>
      </w:r>
    </w:p>
    <w:p>
      <w:pPr>
        <w:pStyle w:val="4"/>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sz w:val="44"/>
          <w:szCs w:val="32"/>
          <w:highlight w:val="none"/>
          <w:lang w:val="en-US" w:eastAsia="zh-C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2550"/>
        <w:gridCol w:w="2400"/>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b/>
                <w:bCs/>
                <w:sz w:val="28"/>
                <w:szCs w:val="28"/>
                <w:highlight w:val="none"/>
                <w:lang w:eastAsia="zh-CN"/>
              </w:rPr>
            </w:pPr>
            <w:r>
              <w:rPr>
                <w:rFonts w:hint="eastAsia" w:ascii="仿宋_GB2312" w:hAnsi="宋体" w:eastAsia="仿宋_GB2312"/>
                <w:b/>
                <w:bCs/>
                <w:sz w:val="28"/>
                <w:szCs w:val="28"/>
                <w:highlight w:val="none"/>
                <w:lang w:eastAsia="zh-CN"/>
              </w:rPr>
              <w:t>序号</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ind w:firstLine="560"/>
              <w:jc w:val="center"/>
              <w:textAlignment w:val="auto"/>
              <w:rPr>
                <w:rFonts w:hint="eastAsia" w:ascii="仿宋_GB2312" w:hAnsi="宋体" w:eastAsia="仿宋_GB2312"/>
                <w:b/>
                <w:bCs/>
                <w:sz w:val="28"/>
                <w:szCs w:val="28"/>
                <w:highlight w:val="none"/>
                <w:lang w:eastAsia="zh-CN"/>
              </w:rPr>
            </w:pPr>
            <w:r>
              <w:rPr>
                <w:rFonts w:hint="eastAsia" w:ascii="仿宋_GB2312" w:hAnsi="宋体" w:eastAsia="仿宋_GB2312"/>
                <w:b/>
                <w:bCs/>
                <w:sz w:val="28"/>
                <w:szCs w:val="28"/>
                <w:highlight w:val="none"/>
                <w:lang w:eastAsia="zh-CN"/>
              </w:rPr>
              <w:t>部门</w:t>
            </w:r>
            <w:r>
              <w:rPr>
                <w:rFonts w:hint="eastAsia" w:ascii="仿宋_GB2312" w:hAnsi="宋体" w:eastAsia="仿宋_GB2312"/>
                <w:b/>
                <w:bCs/>
                <w:sz w:val="28"/>
                <w:szCs w:val="28"/>
                <w:highlight w:val="none"/>
                <w:lang w:val="en-US" w:eastAsia="zh-CN"/>
              </w:rPr>
              <w:t>/支行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b/>
                <w:bCs/>
                <w:sz w:val="28"/>
                <w:szCs w:val="28"/>
                <w:highlight w:val="none"/>
                <w:lang w:eastAsia="zh-CN"/>
              </w:rPr>
            </w:pPr>
            <w:r>
              <w:rPr>
                <w:rFonts w:hint="eastAsia" w:ascii="仿宋_GB2312" w:hAnsi="宋体" w:eastAsia="仿宋_GB2312"/>
                <w:b/>
                <w:bCs/>
                <w:sz w:val="28"/>
                <w:szCs w:val="28"/>
                <w:highlight w:val="none"/>
                <w:lang w:eastAsia="zh-CN"/>
              </w:rPr>
              <w:t>主要对接人</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b/>
                <w:bCs/>
                <w:sz w:val="28"/>
                <w:szCs w:val="28"/>
                <w:highlight w:val="none"/>
                <w:lang w:eastAsia="zh-CN"/>
              </w:rPr>
            </w:pPr>
            <w:r>
              <w:rPr>
                <w:rFonts w:hint="eastAsia" w:ascii="仿宋_GB2312" w:hAnsi="宋体" w:eastAsia="仿宋_GB2312"/>
                <w:b/>
                <w:bCs/>
                <w:sz w:val="28"/>
                <w:szCs w:val="28"/>
                <w:highlight w:val="no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公司业务部</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黄敏俊</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18688296649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2</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val="en-US" w:eastAsia="zh-CN"/>
              </w:rPr>
              <w:t>公司业务部</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邹国君</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13809253675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3</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三水支行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植超雄</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13809810764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4</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三水支行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邓国辉</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13928557172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5</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高明支行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黎剑辉</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1392596222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6</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高明支行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康志恒</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18688225687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7</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石湾支行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刘鹏</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13827785613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8</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CN"/>
              </w:rPr>
              <w:t>石湾支行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阮超</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18306618520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9</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华达支行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唐丹</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13928201315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10</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华达支行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陈嘉宇</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18826102201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11</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城郊支行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李大汉</w:t>
            </w:r>
          </w:p>
        </w:tc>
        <w:tc>
          <w:tcPr>
            <w:tcW w:w="2697" w:type="dxa"/>
            <w:noWrap w:val="0"/>
            <w:vAlign w:val="center"/>
          </w:tcPr>
          <w:p>
            <w:pPr>
              <w:pStyle w:val="4"/>
              <w:pageBreakBefore w:val="0"/>
              <w:tabs>
                <w:tab w:val="left" w:pos="476"/>
              </w:tab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13702929001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12</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城郊支行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姚振科</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13929938528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13</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祖庙支行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张一梁</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13923123534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14</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祖庙支行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姚永平</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 xml:space="preserve">13809217874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15</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南庄支行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陆永祥</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13927713681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16</w:t>
            </w:r>
          </w:p>
        </w:tc>
        <w:tc>
          <w:tcPr>
            <w:tcW w:w="255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南庄支行</w:t>
            </w:r>
          </w:p>
        </w:tc>
        <w:tc>
          <w:tcPr>
            <w:tcW w:w="2400"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lang w:eastAsia="zh-CN"/>
              </w:rPr>
            </w:pPr>
            <w:r>
              <w:rPr>
                <w:rFonts w:hint="eastAsia" w:ascii="仿宋_GB2312" w:hAnsi="宋体" w:eastAsia="仿宋_GB2312"/>
                <w:sz w:val="28"/>
                <w:szCs w:val="28"/>
                <w:highlight w:val="none"/>
                <w:lang w:eastAsia="zh-CN"/>
              </w:rPr>
              <w:t>王政生</w:t>
            </w:r>
          </w:p>
        </w:tc>
        <w:tc>
          <w:tcPr>
            <w:tcW w:w="2697" w:type="dxa"/>
            <w:noWrap w:val="0"/>
            <w:vAlign w:val="center"/>
          </w:tcPr>
          <w:p>
            <w:pPr>
              <w:pStyle w:val="4"/>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13823462390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5"/>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pStyle w:val="6"/>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12C98"/>
    <w:rsid w:val="18C1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New"/>
    <w:uiPriority w:val="0"/>
    <w:pPr>
      <w:widowControl w:val="0"/>
      <w:jc w:val="both"/>
    </w:pPr>
    <w:rPr>
      <w:rFonts w:ascii="Times New Roman" w:hAnsi="Times New Roman" w:eastAsia="宋体" w:cstheme="minorBidi"/>
      <w:kern w:val="2"/>
      <w:sz w:val="21"/>
      <w:lang w:val="en-US" w:eastAsia="zh-CN" w:bidi="ar-SA"/>
    </w:rPr>
  </w:style>
  <w:style w:type="paragraph" w:customStyle="1" w:styleId="5">
    <w:name w:val="标题 1 New"/>
    <w:basedOn w:val="4"/>
    <w:next w:val="4"/>
    <w:uiPriority w:val="0"/>
    <w:pPr>
      <w:keepNext/>
      <w:keepLines/>
      <w:numPr>
        <w:ilvl w:val="0"/>
        <w:numId w:val="1"/>
      </w:numPr>
      <w:spacing w:before="120" w:beforeLines="0"/>
      <w:outlineLvl w:val="0"/>
    </w:pPr>
    <w:rPr>
      <w:b/>
      <w:kern w:val="44"/>
      <w:sz w:val="32"/>
      <w:szCs w:val="20"/>
    </w:rPr>
  </w:style>
  <w:style w:type="paragraph" w:customStyle="1" w:styleId="6">
    <w:name w:val="标题 3 New"/>
    <w:basedOn w:val="4"/>
    <w:next w:val="4"/>
    <w:uiPriority w:val="0"/>
    <w:pPr>
      <w:keepNext/>
      <w:keepLines/>
      <w:numPr>
        <w:ilvl w:val="2"/>
        <w:numId w:val="1"/>
      </w:numPr>
      <w:spacing w:before="120" w:beforeLines="0"/>
      <w:outlineLvl w:val="2"/>
    </w:pPr>
    <w:rPr>
      <w:b/>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2020-06-11T02:19:00Z</dcterms:created>
  <dc:creator>liuyi</dc:creator>
  <cp:lastModifiedBy>liuyi</cp:lastModifiedBy>
  <dcterms:modified xsi:type="dcterms:W3CDTF">2020-06-11T02:22:23Z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