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rPr>
          <w:rFonts w:ascii="方正小标宋简体" w:hAnsi="方正小标宋简体" w:eastAsia="方正小标宋简体" w:cs="黑体"/>
          <w:b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黑体"/>
          <w:b w:val="0"/>
          <w:sz w:val="44"/>
          <w:szCs w:val="44"/>
          <w:highlight w:val="none"/>
        </w:rPr>
        <w:t>建设</w:t>
      </w:r>
      <w:r>
        <w:rPr>
          <w:rFonts w:ascii="方正小标宋简体" w:hAnsi="方正小标宋简体" w:eastAsia="方正小标宋简体" w:cs="黑体"/>
          <w:b w:val="0"/>
          <w:sz w:val="44"/>
          <w:szCs w:val="44"/>
          <w:highlight w:val="none"/>
        </w:rPr>
        <w:t>银行佛山分行</w:t>
      </w:r>
      <w:bookmarkEnd w:id="0"/>
      <w:r>
        <w:rPr>
          <w:rFonts w:hint="eastAsia" w:ascii="方正小标宋简体" w:hAnsi="方正小标宋简体" w:eastAsia="方正小标宋简体" w:cs="黑体"/>
          <w:b w:val="0"/>
          <w:sz w:val="44"/>
          <w:szCs w:val="44"/>
          <w:highlight w:val="none"/>
        </w:rPr>
        <w:t>支持</w:t>
      </w:r>
      <w:r>
        <w:rPr>
          <w:rFonts w:hint="eastAsia" w:ascii="方正小标宋简体" w:hAnsi="方正小标宋简体" w:eastAsia="方正小标宋简体" w:cs="黑体"/>
          <w:b w:val="0"/>
          <w:sz w:val="44"/>
          <w:szCs w:val="44"/>
          <w:highlight w:val="none"/>
          <w:lang w:eastAsia="zh-CN"/>
        </w:rPr>
        <w:t>文广旅体、餐饮</w:t>
      </w:r>
      <w:r>
        <w:rPr>
          <w:rFonts w:ascii="方正小标宋简体" w:hAnsi="方正小标宋简体" w:eastAsia="方正小标宋简体" w:cs="黑体"/>
          <w:b w:val="0"/>
          <w:sz w:val="44"/>
          <w:szCs w:val="44"/>
          <w:highlight w:val="none"/>
        </w:rPr>
        <w:t>企业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rPr>
          <w:rFonts w:ascii="方正小标宋简体" w:hAnsi="方正小标宋简体" w:eastAsia="方正小标宋简体" w:cs="黑体"/>
          <w:b w:val="0"/>
          <w:sz w:val="44"/>
          <w:szCs w:val="44"/>
          <w:highlight w:val="none"/>
        </w:rPr>
      </w:pPr>
      <w:r>
        <w:rPr>
          <w:rFonts w:ascii="方正小标宋简体" w:hAnsi="方正小标宋简体" w:eastAsia="方正小标宋简体" w:cs="黑体"/>
          <w:b w:val="0"/>
          <w:sz w:val="44"/>
          <w:szCs w:val="44"/>
          <w:highlight w:val="none"/>
        </w:rPr>
        <w:t>综合金融服务方案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center"/>
        <w:textAlignment w:val="auto"/>
        <w:rPr>
          <w:rFonts w:ascii="方正小标宋简体" w:hAnsi="方正小标宋简体" w:eastAsia="方正小标宋简体" w:cs="黑体"/>
          <w:b w:val="0"/>
          <w:sz w:val="44"/>
          <w:szCs w:val="44"/>
          <w:highlight w:val="none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00"/>
        <w:textAlignment w:val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为全力配合政府相关部门推进“六稳”“六保”服务方案，加大</w:t>
      </w:r>
      <w:r>
        <w:rPr>
          <w:rFonts w:ascii="仿宋_GB2312" w:hAnsi="仿宋_GB2312" w:eastAsia="仿宋_GB2312"/>
          <w:sz w:val="32"/>
          <w:szCs w:val="32"/>
          <w:highlight w:val="none"/>
        </w:rPr>
        <w:t>对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文广旅体、餐饮</w:t>
      </w:r>
      <w:r>
        <w:rPr>
          <w:rFonts w:ascii="仿宋_GB2312" w:hAnsi="仿宋_GB2312" w:eastAsia="仿宋_GB2312"/>
          <w:sz w:val="32"/>
          <w:szCs w:val="32"/>
          <w:highlight w:val="none"/>
        </w:rPr>
        <w:t>企业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的金融</w:t>
      </w:r>
      <w:r>
        <w:rPr>
          <w:rFonts w:ascii="仿宋_GB2312" w:hAnsi="仿宋_GB2312" w:eastAsia="仿宋_GB2312"/>
          <w:sz w:val="32"/>
          <w:szCs w:val="32"/>
          <w:highlight w:val="none"/>
        </w:rPr>
        <w:t>支持力度，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建设银行佛山市分行制定以下金融服务措施，具体内容如下：</w:t>
      </w:r>
    </w:p>
    <w:p>
      <w:pPr>
        <w:pStyle w:val="5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-284"/>
        <w:textAlignment w:val="auto"/>
        <w:rPr>
          <w:rFonts w:hint="eastAsia" w:ascii="黑体" w:hAnsi="黑体" w:eastAsia="黑体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黑体" w:hAnsi="黑体" w:eastAsia="黑体"/>
          <w:b w:val="0"/>
          <w:bCs/>
          <w:sz w:val="32"/>
          <w:szCs w:val="32"/>
          <w:highlight w:val="none"/>
        </w:rPr>
        <w:t>一、加大信贷支持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（</w:t>
      </w:r>
      <w:r>
        <w:rPr>
          <w:rFonts w:ascii="楷体_GB2312" w:hAnsi="楷体_GB2312" w:eastAsia="楷体_GB2312"/>
          <w:sz w:val="32"/>
          <w:szCs w:val="32"/>
          <w:highlight w:val="none"/>
        </w:rPr>
        <w:t>一）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设立专项信贷额度。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保障全市民营企业、中小微企业融资需求，新增</w:t>
      </w:r>
      <w:r>
        <w:rPr>
          <w:rFonts w:ascii="仿宋_GB2312" w:hAnsi="仿宋_GB2312" w:eastAsia="仿宋_GB2312"/>
          <w:sz w:val="32"/>
          <w:szCs w:val="32"/>
          <w:highlight w:val="none"/>
        </w:rPr>
        <w:t>10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00亿元专项信贷额度支持，其中对于政府重点扶持领域的企业优先保障信贷额度。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（</w:t>
      </w:r>
      <w:r>
        <w:rPr>
          <w:rFonts w:ascii="楷体_GB2312" w:hAnsi="楷体_GB2312" w:eastAsia="楷体_GB2312"/>
          <w:sz w:val="32"/>
          <w:szCs w:val="32"/>
          <w:highlight w:val="none"/>
        </w:rPr>
        <w:t>二）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专属稳就业服务支持。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1. 为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文广旅体、餐饮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企业提供线上线下一体化专属信贷服务，迭代升级云义贷专属服务和个体工商户经营快贷、个体工商户抵押快贷等产品，全面满足小微企业和个体工商户信贷资金需求，保障主体持续经营；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ascii="仿宋_GB2312" w:hAnsi="仿宋_GB2312" w:eastAsia="仿宋_GB2312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支持抵押、质押、保证等多种担保方式组合申办，单户贷款额度最高3000万元（纯信用额度最高500万元），个体工商户抵押快贷额度最高1000万元，最长10年。另外抵押类快贷提供“无缝衔接”续贷服务支持。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rPr>
          <w:rFonts w:ascii="楷体_GB2312" w:hAnsi="楷体_GB2312" w:eastAsia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（</w:t>
      </w:r>
      <w:r>
        <w:rPr>
          <w:rFonts w:ascii="楷体_GB2312" w:hAnsi="楷体_GB2312" w:eastAsia="楷体_GB2312"/>
          <w:sz w:val="32"/>
          <w:szCs w:val="32"/>
          <w:highlight w:val="none"/>
        </w:rPr>
        <w:t>三）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扩大押品可接受范围。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00"/>
        <w:textAlignment w:val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在原有商品房、写字楼、临街商铺的基础上，新增自建房、别墅、住宅式公寓、商务公寓及上述物业配套车位（独立产权证）纳入贷款标准押品接受范围。采用传统模式办理，将商务公寓抵押率从40%提高至70%，自建房、别墅、写字楼、配套车位抵押率从50%提高至60%，临街商铺抵押率由40%提升至70%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（</w:t>
      </w:r>
      <w:r>
        <w:rPr>
          <w:rFonts w:ascii="楷体_GB2312" w:hAnsi="楷体_GB2312" w:eastAsia="楷体_GB2312"/>
          <w:sz w:val="32"/>
          <w:szCs w:val="32"/>
          <w:highlight w:val="none"/>
        </w:rPr>
        <w:t>四）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放宽小微企业主准入范围。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00"/>
        <w:textAlignment w:val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对申请抵押快贷准入的小微企业，企业主年龄由60岁扩大至65岁，由“企业主非港、澳、台及外籍人士”调整为“企业主非台胞或外籍人士”。</w:t>
      </w:r>
    </w:p>
    <w:p>
      <w:pPr>
        <w:pStyle w:val="5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-284"/>
        <w:textAlignment w:val="auto"/>
        <w:rPr>
          <w:rFonts w:hint="eastAsia" w:ascii="黑体" w:hAnsi="黑体" w:eastAsia="黑体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黑体" w:hAnsi="黑体" w:eastAsia="黑体"/>
          <w:b w:val="0"/>
          <w:bCs/>
          <w:sz w:val="32"/>
          <w:szCs w:val="32"/>
          <w:highlight w:val="none"/>
        </w:rPr>
        <w:t>二、减费让利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rPr>
          <w:rFonts w:ascii="楷体_GB2312" w:hAnsi="楷体_GB2312" w:eastAsia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（</w:t>
      </w:r>
      <w:r>
        <w:rPr>
          <w:rFonts w:ascii="楷体_GB2312" w:hAnsi="楷体_GB2312" w:eastAsia="楷体_GB2312"/>
          <w:sz w:val="32"/>
          <w:szCs w:val="32"/>
          <w:highlight w:val="none"/>
        </w:rPr>
        <w:t>一）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提供最优惠利率。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00"/>
        <w:textAlignment w:val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针对当地小微企业，如为防疫相关行业企业，在现行普惠贷款利率基础上下降0.5个百分点，其中纯线上信用类贷款一年期利率最低4.1025%。如非防疫相关企业，在原普惠金融贷款利率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上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进行优惠，其中纯线上业务按9折执行，即年利率约4.</w:t>
      </w:r>
      <w:r>
        <w:rPr>
          <w:rFonts w:ascii="仿宋_GB2312" w:hAnsi="仿宋_GB2312" w:eastAsia="仿宋_GB2312"/>
          <w:sz w:val="32"/>
          <w:szCs w:val="32"/>
          <w:highlight w:val="none"/>
        </w:rPr>
        <w:t>5%，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如为申办抵押快贷，一年期执行最低LPR+</w:t>
      </w:r>
      <w:r>
        <w:rPr>
          <w:rFonts w:ascii="仿宋_GB2312" w:hAnsi="仿宋_GB2312" w:eastAsia="仿宋_GB2312"/>
          <w:sz w:val="32"/>
          <w:szCs w:val="32"/>
          <w:highlight w:val="none"/>
        </w:rPr>
        <w:t>0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BPS</w:t>
      </w:r>
      <w:r>
        <w:rPr>
          <w:rFonts w:ascii="仿宋_GB2312" w:hAnsi="仿宋_GB2312" w:eastAsia="仿宋_GB2312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一年期以上执行最低LPR+</w:t>
      </w:r>
      <w:r>
        <w:rPr>
          <w:rFonts w:ascii="仿宋_GB2312" w:hAnsi="仿宋_GB2312" w:eastAsia="仿宋_GB2312"/>
          <w:sz w:val="32"/>
          <w:szCs w:val="32"/>
          <w:highlight w:val="none"/>
        </w:rPr>
        <w:t>40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BPS。(具体执行利率以贷款发放时利率价格为准。)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rPr>
          <w:rFonts w:ascii="楷体_GB2312" w:hAnsi="楷体_GB2312" w:eastAsia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ascii="楷体_GB2312" w:hAnsi="楷体_GB2312" w:eastAsia="楷体_GB2312"/>
          <w:sz w:val="32"/>
          <w:szCs w:val="32"/>
          <w:highlight w:val="none"/>
        </w:rPr>
        <w:t>(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二)为</w:t>
      </w:r>
      <w:r>
        <w:rPr>
          <w:rFonts w:hint="eastAsia" w:ascii="楷体_GB2312" w:hAnsi="楷体_GB2312" w:eastAsia="楷体_GB2312"/>
          <w:sz w:val="32"/>
          <w:szCs w:val="32"/>
          <w:highlight w:val="none"/>
          <w:lang w:eastAsia="zh-CN"/>
        </w:rPr>
        <w:t>文广旅体、餐饮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企业提供最优惠费率及优惠补贴费用。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ascii="仿宋_GB2312" w:hAnsi="仿宋_GB2312" w:eastAsia="仿宋_GB2312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减免支付费用。对受疫情影响较大行业（如餐饮、零售等）的中小微企业，减免不少于6个月的条码支付结算手续费。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2.减免结算费用。在建行开通首个企业结算账户，享受账户管理费减免；签约企业网上银行、单位结算卡、账单自助系统等常规结算产品享优惠价格；疫情期间免收企业账户大额、通兑取现及单位结算卡取现手续费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textAlignment w:val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3.免费平台服务。对急需转型线上销售的中小微企业，建行免费提供在线商城、微商城、在线订货/点餐等技术平台支撑，协助企业线上拓客引流。</w:t>
      </w:r>
    </w:p>
    <w:p>
      <w:pPr>
        <w:pStyle w:val="4"/>
        <w:spacing w:line="360" w:lineRule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4.投入促销费用。在商业活动恢复期，建行向重点扶持行业投入促销费用，支持受疫情影响行业恢复正常经营。</w:t>
      </w:r>
    </w:p>
    <w:p>
      <w:pPr>
        <w:pStyle w:val="5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-284"/>
        <w:textAlignment w:val="auto"/>
        <w:rPr>
          <w:rFonts w:hint="eastAsia" w:ascii="黑体" w:hAnsi="黑体" w:eastAsia="黑体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黑体" w:hAnsi="黑体" w:eastAsia="黑体"/>
          <w:b w:val="0"/>
          <w:bCs/>
          <w:sz w:val="32"/>
          <w:szCs w:val="32"/>
          <w:highlight w:val="none"/>
        </w:rPr>
        <w:t>三、保障</w:t>
      </w:r>
      <w:r>
        <w:rPr>
          <w:rFonts w:hint="eastAsia" w:ascii="黑体" w:hAnsi="黑体" w:eastAsia="黑体"/>
          <w:b w:val="0"/>
          <w:bCs/>
          <w:sz w:val="32"/>
          <w:szCs w:val="32"/>
          <w:highlight w:val="none"/>
          <w:lang w:eastAsia="zh-CN"/>
        </w:rPr>
        <w:t>文广旅体、餐饮</w:t>
      </w:r>
      <w:r>
        <w:rPr>
          <w:rFonts w:hint="eastAsia" w:ascii="黑体" w:hAnsi="黑体" w:eastAsia="黑体"/>
          <w:b w:val="0"/>
          <w:bCs/>
          <w:sz w:val="32"/>
          <w:szCs w:val="32"/>
          <w:highlight w:val="none"/>
        </w:rPr>
        <w:t>企业持续健康发展</w:t>
      </w:r>
    </w:p>
    <w:p>
      <w:pPr>
        <w:pStyle w:val="4"/>
        <w:spacing w:line="360" w:lineRule="auto"/>
        <w:ind w:firstLine="600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针对已在建行办理信贷业务的小微企业，提供临时性延期还本付息服务。对因疫情造成临时还款困难的民营企业, 承诺不盲目抽贷、断贷、压贷，根据实际情况给予再融资、期限调整、征信保护、还款计划调整等支持：</w:t>
      </w:r>
    </w:p>
    <w:p>
      <w:pPr>
        <w:pStyle w:val="4"/>
        <w:spacing w:line="360" w:lineRule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（一</w:t>
      </w:r>
      <w:r>
        <w:rPr>
          <w:rFonts w:ascii="楷体_GB2312" w:hAnsi="楷体_GB2312" w:eastAsia="楷体_GB2312"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“无缝衔接”续贷。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疫情期间到期的普惠型贷款（含个体户），存量贷款期间无违约记录，可申请最长续贷1年，利率按目前最新价格执行。</w:t>
      </w:r>
    </w:p>
    <w:p>
      <w:pPr>
        <w:pStyle w:val="4"/>
        <w:spacing w:line="360" w:lineRule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（二</w:t>
      </w:r>
      <w:r>
        <w:rPr>
          <w:rFonts w:ascii="楷体_GB2312" w:hAnsi="楷体_GB2312" w:eastAsia="楷体_GB2312"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调整还款计划。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对疫情影响，还款出现短暂困难的小微企业，提供调整付息频率服务支持，企业可选择按月、按季进行调整。</w:t>
      </w:r>
    </w:p>
    <w:p>
      <w:pPr>
        <w:pStyle w:val="4"/>
        <w:spacing w:line="360" w:lineRule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（三</w:t>
      </w:r>
      <w:r>
        <w:rPr>
          <w:rFonts w:ascii="楷体_GB2312" w:hAnsi="楷体_GB2312" w:eastAsia="楷体_GB2312"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征信保护服务。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对受疫情影响，贷款出现逾期的小微企业，建行协助向人行申请征信修复，剔除逾期名单，提供征信保护服务。</w:t>
      </w:r>
    </w:p>
    <w:p>
      <w:pPr>
        <w:pStyle w:val="5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-284"/>
        <w:textAlignment w:val="auto"/>
        <w:rPr>
          <w:rFonts w:hint="eastAsia" w:ascii="黑体" w:hAnsi="黑体" w:eastAsia="黑体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b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黑体" w:hAnsi="黑体" w:eastAsia="黑体"/>
          <w:b w:val="0"/>
          <w:bCs/>
          <w:sz w:val="32"/>
          <w:szCs w:val="32"/>
          <w:highlight w:val="none"/>
        </w:rPr>
        <w:t>四、专设金融服务通道</w:t>
      </w:r>
    </w:p>
    <w:p>
      <w:pPr>
        <w:pStyle w:val="4"/>
        <w:spacing w:line="360" w:lineRule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（一</w:t>
      </w:r>
      <w:r>
        <w:rPr>
          <w:rFonts w:ascii="楷体_GB2312" w:hAnsi="楷体_GB2312" w:eastAsia="楷体_GB2312"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搭建重点企业授信业务绿色通道。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对政府重点支持领域企业，提供绿色服务通道，确保授信评估、业务核准、授信申报、授信审批、贷款发放等相关授信业务优先受理、快速作业。</w:t>
      </w:r>
    </w:p>
    <w:p>
      <w:pPr>
        <w:pStyle w:val="4"/>
        <w:spacing w:line="360" w:lineRule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（</w:t>
      </w:r>
      <w:r>
        <w:rPr>
          <w:rFonts w:ascii="楷体_GB2312" w:hAnsi="楷体_GB2312" w:eastAsia="楷体_GB2312"/>
          <w:sz w:val="32"/>
          <w:szCs w:val="32"/>
          <w:highlight w:val="none"/>
        </w:rPr>
        <w:t>二）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扩大线上金融服务渠道。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提供网上银行、手机银行、惠懂你APP等线上金融服务渠道，提供融资、账户查询、转账、企业信用报告线上查询等服务。</w:t>
      </w:r>
    </w:p>
    <w:p>
      <w:pPr>
        <w:pStyle w:val="4"/>
        <w:spacing w:line="360" w:lineRule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（</w:t>
      </w:r>
      <w:r>
        <w:rPr>
          <w:rFonts w:ascii="楷体_GB2312" w:hAnsi="楷体_GB2312" w:eastAsia="楷体_GB2312"/>
          <w:sz w:val="32"/>
          <w:szCs w:val="32"/>
          <w:highlight w:val="none"/>
        </w:rPr>
        <w:t>三）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提供线上“一对一”精准服务。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通过短信、微信等渠道向企业发送提醒，通过个人客户经理云工作室为企业提供“一对一”远程服务，协助企业通过线上渠道进行转账汇划、代发工资、投资理财、融资等操作。</w:t>
      </w:r>
    </w:p>
    <w:p>
      <w:pPr>
        <w:pStyle w:val="4"/>
        <w:spacing w:line="360" w:lineRule="auto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（</w:t>
      </w:r>
      <w:r>
        <w:rPr>
          <w:rFonts w:ascii="楷体_GB2312" w:hAnsi="楷体_GB2312" w:eastAsia="楷体_GB2312"/>
          <w:sz w:val="32"/>
          <w:szCs w:val="32"/>
          <w:highlight w:val="none"/>
        </w:rPr>
        <w:t>四）</w:t>
      </w:r>
      <w:r>
        <w:rPr>
          <w:rFonts w:hint="eastAsia" w:ascii="楷体_GB2312" w:hAnsi="楷体_GB2312" w:eastAsia="楷体_GB2312"/>
          <w:sz w:val="32"/>
          <w:szCs w:val="32"/>
          <w:highlight w:val="none"/>
        </w:rPr>
        <w:t>创新企业线上经营工具箱。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配合企业网银、手机银行，提供线上建门户、找客户、管经营、发薪酬、云客服、快融资、管园区等一键式在线经营管理服务。</w:t>
      </w:r>
    </w:p>
    <w:p>
      <w:pPr>
        <w:pStyle w:val="4"/>
        <w:spacing w:line="360" w:lineRule="auto"/>
        <w:ind w:firstLine="600"/>
        <w:rPr>
          <w:rFonts w:ascii="仿宋_GB2312" w:hAnsi="仿宋_GB2312" w:eastAsia="仿宋_GB2312"/>
          <w:sz w:val="32"/>
          <w:szCs w:val="32"/>
          <w:highlight w:val="none"/>
        </w:rPr>
      </w:pPr>
    </w:p>
    <w:p>
      <w:pPr>
        <w:pStyle w:val="4"/>
        <w:spacing w:line="360" w:lineRule="auto"/>
        <w:ind w:firstLine="600"/>
        <w:rPr>
          <w:rFonts w:ascii="彩虹粗仿宋" w:eastAsia="彩虹粗仿宋"/>
          <w:sz w:val="28"/>
          <w:szCs w:val="28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佛山市各民营小微企业可直接联系建行佛山市分行（具体服务机构及联系电话见附件），提出个性化融资需求，建行服务团队将7*24小时实时响应，并提供绿色通道应急服务。</w:t>
      </w:r>
    </w:p>
    <w:p>
      <w:pPr>
        <w:pStyle w:val="4"/>
        <w:adjustRightInd w:val="0"/>
        <w:snapToGrid w:val="0"/>
        <w:spacing w:line="560" w:lineRule="exact"/>
        <w:rPr>
          <w:rFonts w:hint="eastAsia" w:ascii="黑体" w:hAnsi="黑体" w:eastAsia="黑体" w:cs="仿宋_GB2312"/>
          <w:bCs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bCs/>
          <w:sz w:val="32"/>
          <w:szCs w:val="32"/>
          <w:highlight w:val="none"/>
        </w:rPr>
        <w:t>附件：</w:t>
      </w:r>
    </w:p>
    <w:p>
      <w:pPr>
        <w:pStyle w:val="4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2"/>
          <w:highlight w:val="none"/>
        </w:rPr>
        <w:t>建行佛山市分行服务团队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3421"/>
        <w:gridCol w:w="2356"/>
        <w:gridCol w:w="1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b/>
                <w:bCs/>
                <w:kern w:val="0"/>
                <w:sz w:val="20"/>
                <w:highlight w:val="none"/>
              </w:rPr>
              <w:t>建行融资服务机构</w:t>
            </w: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b/>
                <w:bCs/>
                <w:kern w:val="0"/>
                <w:sz w:val="20"/>
                <w:highlight w:val="none"/>
              </w:rPr>
              <w:t>具体地址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b/>
                <w:bCs/>
                <w:kern w:val="0"/>
                <w:sz w:val="20"/>
                <w:highlight w:val="none"/>
              </w:rPr>
              <w:t>贷款咨询服务人员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b/>
                <w:bCs/>
                <w:kern w:val="0"/>
                <w:sz w:val="20"/>
                <w:highlight w:val="no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建设银行分行营业部</w:t>
            </w:r>
          </w:p>
        </w:tc>
        <w:tc>
          <w:tcPr>
            <w:tcW w:w="3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顺德区乐从东平新城文华南路8号3座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何裕钊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13760962196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曾令全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13535895334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建设银行南海支行</w:t>
            </w:r>
          </w:p>
        </w:tc>
        <w:tc>
          <w:tcPr>
            <w:tcW w:w="3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南海区南海大道北34号财联大厦2层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彭珊珊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13928582760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何泽锋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18823149478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建设银行大沥支行</w:t>
            </w:r>
          </w:p>
        </w:tc>
        <w:tc>
          <w:tcPr>
            <w:tcW w:w="34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南海区大沥镇新城大道凤池商业城D1层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陈淑韵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18823230344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潘健新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18823159166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建设银行乐从支行</w:t>
            </w:r>
          </w:p>
        </w:tc>
        <w:tc>
          <w:tcPr>
            <w:tcW w:w="3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顺德区乐从镇东区新华路B6号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吴炬彬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13928267722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何燕梅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13823427371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建设银行三水支行</w:t>
            </w:r>
          </w:p>
        </w:tc>
        <w:tc>
          <w:tcPr>
            <w:tcW w:w="34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三水区健力宝南路37号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杜淑琼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13928590265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5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梁铭锋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15692414335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建设银行狮山支行</w:t>
            </w:r>
          </w:p>
        </w:tc>
        <w:tc>
          <w:tcPr>
            <w:tcW w:w="3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南海区狮山镇博爱中路8号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刘翠云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13809212015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何文照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13809224755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建设银行禅城中心支行</w:t>
            </w:r>
          </w:p>
        </w:tc>
        <w:tc>
          <w:tcPr>
            <w:tcW w:w="3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禅城区汾江中路120号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何国毅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13760966599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5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黄富能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13702755224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建设银行西樵支行</w:t>
            </w:r>
          </w:p>
        </w:tc>
        <w:tc>
          <w:tcPr>
            <w:tcW w:w="3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南海区西樵镇江浦东路与长提路交叉口东50米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黄炜权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15813600757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5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刘东军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13825528911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建设银行汾江支行</w:t>
            </w:r>
          </w:p>
        </w:tc>
        <w:tc>
          <w:tcPr>
            <w:tcW w:w="34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禅城区五峰四路27号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徐景尧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13516631572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5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何耀良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13600303300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建设银行祖庙支行</w:t>
            </w:r>
          </w:p>
        </w:tc>
        <w:tc>
          <w:tcPr>
            <w:tcW w:w="3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禅城区季华七路2号1-4座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陈光谱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13929969478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5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陈斌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13827743202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建设银行罗村支行</w:t>
            </w:r>
          </w:p>
        </w:tc>
        <w:tc>
          <w:tcPr>
            <w:tcW w:w="3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南海区狮山镇罗村街道南湖一路6号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张翠媚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13702961066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5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杜锦祥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13923234987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建设银行大良支行</w:t>
            </w:r>
          </w:p>
        </w:tc>
        <w:tc>
          <w:tcPr>
            <w:tcW w:w="3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顺德区大良街道清晖路146号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梁洁根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13516648503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欧永祥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13929199867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建设银行高明支行</w:t>
            </w:r>
          </w:p>
        </w:tc>
        <w:tc>
          <w:tcPr>
            <w:tcW w:w="3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高明区文华路438号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区国柱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13928523565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left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刘金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13928507511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建设银行龙江支行</w:t>
            </w:r>
          </w:p>
        </w:tc>
        <w:tc>
          <w:tcPr>
            <w:tcW w:w="3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顺德区东华路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彭普全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13690777155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5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廖文聪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13450551403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建设银行北</w:t>
            </w:r>
            <w:r>
              <w:rPr>
                <w:rFonts w:hint="eastAsia" w:ascii="宋体" w:hAnsi="宋体" w:cs="宋体"/>
                <w:kern w:val="0"/>
                <w:sz w:val="18"/>
                <w:highlight w:val="none"/>
              </w:rPr>
              <w:t>滘</w:t>
            </w:r>
            <w:r>
              <w:rPr>
                <w:rFonts w:hint="eastAsia" w:ascii="彩虹粗仿宋" w:hAnsi="彩虹粗仿宋" w:eastAsia="彩虹粗仿宋" w:cs="彩虹粗仿宋"/>
                <w:kern w:val="0"/>
                <w:sz w:val="18"/>
                <w:highlight w:val="none"/>
              </w:rPr>
              <w:t>支行</w:t>
            </w:r>
          </w:p>
        </w:tc>
        <w:tc>
          <w:tcPr>
            <w:tcW w:w="3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顺德区北</w:t>
            </w:r>
            <w:r>
              <w:rPr>
                <w:rFonts w:hint="eastAsia" w:ascii="宋体" w:hAnsi="宋体" w:cs="宋体"/>
                <w:kern w:val="0"/>
                <w:sz w:val="18"/>
                <w:highlight w:val="none"/>
              </w:rPr>
              <w:t>滘</w:t>
            </w:r>
            <w:r>
              <w:rPr>
                <w:rFonts w:hint="eastAsia" w:ascii="彩虹粗仿宋" w:hAnsi="彩虹粗仿宋" w:eastAsia="彩虹粗仿宋" w:cs="彩虹粗仿宋"/>
                <w:kern w:val="0"/>
                <w:sz w:val="18"/>
                <w:highlight w:val="none"/>
              </w:rPr>
              <w:t>镇建设南路</w:t>
            </w: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38号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梁志明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18022229600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5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郑展豪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13925451829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建设银行容奇支行</w:t>
            </w:r>
          </w:p>
        </w:tc>
        <w:tc>
          <w:tcPr>
            <w:tcW w:w="3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顺德区容奇凤翔南路3号1-2层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李子建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13715516063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5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34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郭海洲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pacing w:line="240" w:lineRule="atLeast"/>
              <w:jc w:val="center"/>
              <w:rPr>
                <w:rFonts w:ascii="彩虹粗仿宋" w:hAnsi="仿宋_GB2312" w:eastAsia="彩虹粗仿宋" w:cs="仿宋_GB2312"/>
                <w:kern w:val="0"/>
                <w:sz w:val="18"/>
                <w:highlight w:val="none"/>
              </w:rPr>
            </w:pPr>
            <w:r>
              <w:rPr>
                <w:rFonts w:hint="eastAsia" w:ascii="彩虹粗仿宋" w:hAnsi="仿宋_GB2312" w:eastAsia="彩虹粗仿宋" w:cs="仿宋_GB2312"/>
                <w:kern w:val="0"/>
                <w:sz w:val="18"/>
                <w:highlight w:val="none"/>
              </w:rPr>
              <w:t>13790084283</w:t>
            </w:r>
          </w:p>
        </w:tc>
      </w:tr>
    </w:tbl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/>
        <w:jc w:val="left"/>
        <w:textAlignment w:val="auto"/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彩虹粗仿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decimal"/>
      <w:pStyle w:val="5"/>
      <w:lvlText w:val="%1.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432" w:hanging="432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432" w:hanging="432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432" w:hanging="432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440"/>
        </w:tabs>
        <w:ind w:left="432" w:hanging="43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153C6"/>
    <w:rsid w:val="71C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"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5">
    <w:name w:val="标题 1 New New"/>
    <w:basedOn w:val="6"/>
    <w:next w:val="6"/>
    <w:qFormat/>
    <w:uiPriority w:val="0"/>
    <w:pPr>
      <w:keepNext/>
      <w:keepLines/>
      <w:numPr>
        <w:ilvl w:val="0"/>
        <w:numId w:val="1"/>
      </w:numPr>
      <w:spacing w:before="120" w:beforeLines="0"/>
      <w:outlineLvl w:val="0"/>
    </w:pPr>
    <w:rPr>
      <w:b/>
      <w:kern w:val="44"/>
      <w:sz w:val="32"/>
      <w:szCs w:val="20"/>
    </w:rPr>
  </w:style>
  <w:style w:type="paragraph" w:customStyle="1" w:styleId="6">
    <w:name w:val="正文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7">
    <w:name w:val="正文 New New New New New New New New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2020-06-11T02:20:00Z</dcterms:created>
  <dc:creator>liuyi</dc:creator>
  <cp:lastModifiedBy>liuyi</cp:lastModifiedBy>
  <dcterms:modified xsi:type="dcterms:W3CDTF">2020-06-11T02:22:39Z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