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黑体"/>
          <w:b w:val="0"/>
          <w:bCs w:val="0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黑体"/>
          <w:b w:val="0"/>
          <w:bCs w:val="0"/>
          <w:sz w:val="44"/>
          <w:szCs w:val="44"/>
          <w:highlight w:val="none"/>
          <w:lang w:val="en-US" w:eastAsia="zh-CN"/>
        </w:rPr>
        <w:t>光大银行佛山分行</w:t>
      </w:r>
      <w:bookmarkEnd w:id="0"/>
      <w:r>
        <w:rPr>
          <w:rFonts w:hint="eastAsia" w:ascii="方正小标宋简体" w:hAnsi="方正小标宋简体" w:eastAsia="方正小标宋简体" w:cs="黑体"/>
          <w:b w:val="0"/>
          <w:bCs w:val="0"/>
          <w:sz w:val="44"/>
          <w:szCs w:val="44"/>
          <w:highlight w:val="none"/>
        </w:rPr>
        <w:t>支持</w:t>
      </w:r>
      <w:r>
        <w:rPr>
          <w:rFonts w:hint="eastAsia" w:ascii="方正小标宋简体" w:hAnsi="方正小标宋简体" w:eastAsia="方正小标宋简体" w:cs="黑体"/>
          <w:b w:val="0"/>
          <w:bCs w:val="0"/>
          <w:sz w:val="44"/>
          <w:szCs w:val="44"/>
          <w:highlight w:val="none"/>
          <w:lang w:eastAsia="zh-CN"/>
        </w:rPr>
        <w:t>文广旅体、餐饮企业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/>
          <w:sz w:val="44"/>
          <w:szCs w:val="32"/>
          <w:highlight w:val="none"/>
        </w:rPr>
      </w:pPr>
      <w:r>
        <w:rPr>
          <w:rFonts w:hint="eastAsia" w:ascii="方正小标宋简体" w:hAnsi="方正小标宋简体" w:eastAsia="方正小标宋简体" w:cs="黑体"/>
          <w:b w:val="0"/>
          <w:bCs w:val="0"/>
          <w:sz w:val="44"/>
          <w:szCs w:val="44"/>
          <w:highlight w:val="none"/>
        </w:rPr>
        <w:t>综合金融服务方案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/>
          <w:sz w:val="32"/>
          <w:szCs w:val="22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6" w:firstLineChars="0"/>
        <w:textAlignment w:val="auto"/>
        <w:outlineLvl w:val="9"/>
        <w:rPr>
          <w:rFonts w:ascii="仿宋_GB2312" w:hAnsi="仿宋_GB2312" w:eastAsia="仿宋_GB2312"/>
          <w:sz w:val="32"/>
          <w:szCs w:val="22"/>
          <w:highlight w:val="none"/>
        </w:rPr>
      </w:pPr>
      <w:r>
        <w:rPr>
          <w:rFonts w:hint="eastAsia" w:ascii="仿宋_GB2312" w:hAnsi="仿宋_GB2312" w:eastAsia="仿宋_GB2312"/>
          <w:sz w:val="32"/>
          <w:szCs w:val="22"/>
          <w:highlight w:val="none"/>
        </w:rPr>
        <w:t>为积极响应支持佛山市“六稳”、“六保”工作，稳定居民就业，保障基本民生，</w:t>
      </w:r>
      <w:r>
        <w:rPr>
          <w:rFonts w:hint="eastAsia" w:ascii="仿宋_GB2312" w:hAnsi="仿宋_GB2312" w:eastAsia="仿宋_GB2312"/>
          <w:sz w:val="32"/>
          <w:szCs w:val="22"/>
          <w:highlight w:val="none"/>
          <w:lang w:val="en-US" w:eastAsia="zh-CN"/>
        </w:rPr>
        <w:t>光大银行佛山分行</w:t>
      </w:r>
      <w:r>
        <w:rPr>
          <w:rFonts w:hint="eastAsia" w:ascii="仿宋_GB2312" w:hAnsi="仿宋_GB2312" w:eastAsia="仿宋_GB2312"/>
          <w:sz w:val="32"/>
          <w:szCs w:val="22"/>
          <w:highlight w:val="none"/>
        </w:rPr>
        <w:t>在稳就业中就</w:t>
      </w:r>
      <w:r>
        <w:rPr>
          <w:rFonts w:hint="eastAsia" w:ascii="仿宋_GB2312" w:hAnsi="仿宋_GB2312" w:eastAsia="仿宋_GB2312"/>
          <w:sz w:val="32"/>
          <w:szCs w:val="22"/>
          <w:highlight w:val="none"/>
          <w:lang w:eastAsia="zh-CN"/>
        </w:rPr>
        <w:t>文广旅体、餐饮</w:t>
      </w:r>
      <w:r>
        <w:rPr>
          <w:rFonts w:hint="eastAsia" w:ascii="仿宋_GB2312" w:hAnsi="仿宋_GB2312" w:eastAsia="仿宋_GB2312"/>
          <w:sz w:val="32"/>
          <w:szCs w:val="22"/>
          <w:highlight w:val="none"/>
        </w:rPr>
        <w:t>行业制定了全方位、深层次金融服务支持方案，解决企业实际金融需求。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/>
          <w:sz w:val="32"/>
          <w:szCs w:val="22"/>
          <w:highlight w:val="none"/>
        </w:rPr>
      </w:pPr>
      <w:r>
        <w:rPr>
          <w:rFonts w:hint="eastAsia" w:ascii="黑体" w:hAnsi="黑体" w:eastAsia="黑体"/>
          <w:sz w:val="32"/>
          <w:szCs w:val="22"/>
          <w:highlight w:val="none"/>
        </w:rPr>
        <w:t>一、</w:t>
      </w:r>
      <w:r>
        <w:rPr>
          <w:rFonts w:hint="eastAsia" w:ascii="黑体" w:hAnsi="黑体" w:eastAsia="黑体"/>
          <w:sz w:val="32"/>
          <w:szCs w:val="22"/>
          <w:highlight w:val="none"/>
          <w:lang w:eastAsia="zh-CN"/>
        </w:rPr>
        <w:t>文广旅体、餐饮</w:t>
      </w:r>
      <w:r>
        <w:rPr>
          <w:rFonts w:hint="eastAsia" w:ascii="黑体" w:hAnsi="黑体" w:eastAsia="黑体"/>
          <w:sz w:val="32"/>
          <w:szCs w:val="22"/>
          <w:highlight w:val="none"/>
        </w:rPr>
        <w:t>服务方案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ascii="楷体_GB2312" w:hAnsi="楷体_GB2312" w:eastAsia="楷体_GB2312"/>
          <w:sz w:val="32"/>
          <w:szCs w:val="22"/>
          <w:highlight w:val="none"/>
        </w:rPr>
      </w:pPr>
      <w:r>
        <w:rPr>
          <w:rFonts w:hint="eastAsia" w:ascii="楷体_GB2312" w:hAnsi="楷体_GB2312" w:eastAsia="楷体_GB2312"/>
          <w:sz w:val="32"/>
          <w:szCs w:val="22"/>
          <w:highlight w:val="none"/>
        </w:rPr>
        <w:t>（一）重点支持领域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6" w:firstLineChars="0"/>
        <w:textAlignment w:val="auto"/>
        <w:outlineLvl w:val="9"/>
        <w:rPr>
          <w:rFonts w:ascii="仿宋_GB2312" w:hAnsi="仿宋_GB2312" w:eastAsia="仿宋_GB2312"/>
          <w:sz w:val="32"/>
          <w:szCs w:val="22"/>
          <w:highlight w:val="none"/>
        </w:rPr>
      </w:pPr>
      <w:r>
        <w:rPr>
          <w:rFonts w:hint="eastAsia" w:ascii="仿宋_GB2312" w:hAnsi="仿宋_GB2312" w:eastAsia="仿宋_GB2312"/>
          <w:sz w:val="32"/>
          <w:szCs w:val="22"/>
          <w:highlight w:val="none"/>
        </w:rPr>
        <w:t>优质</w:t>
      </w:r>
      <w:r>
        <w:rPr>
          <w:rFonts w:hint="eastAsia" w:ascii="仿宋_GB2312" w:hAnsi="仿宋_GB2312" w:eastAsia="仿宋_GB2312"/>
          <w:sz w:val="32"/>
          <w:szCs w:val="22"/>
          <w:highlight w:val="none"/>
          <w:lang w:eastAsia="zh-CN"/>
        </w:rPr>
        <w:t>文广旅体、餐饮</w:t>
      </w:r>
      <w:r>
        <w:rPr>
          <w:rFonts w:hint="eastAsia" w:ascii="仿宋_GB2312" w:hAnsi="仿宋_GB2312" w:eastAsia="仿宋_GB2312"/>
          <w:sz w:val="32"/>
          <w:szCs w:val="22"/>
          <w:highlight w:val="none"/>
        </w:rPr>
        <w:t>行业法人或个体工商户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ascii="楷体_GB2312" w:hAnsi="楷体_GB2312" w:eastAsia="楷体_GB2312"/>
          <w:sz w:val="32"/>
          <w:szCs w:val="22"/>
          <w:highlight w:val="none"/>
        </w:rPr>
      </w:pPr>
      <w:r>
        <w:rPr>
          <w:rFonts w:hint="eastAsia" w:ascii="楷体_GB2312" w:hAnsi="楷体_GB2312" w:eastAsia="楷体_GB2312"/>
          <w:sz w:val="32"/>
          <w:szCs w:val="22"/>
          <w:highlight w:val="none"/>
        </w:rPr>
        <w:t>（二）准入条件及要求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6" w:firstLineChars="0"/>
        <w:textAlignment w:val="auto"/>
        <w:outlineLvl w:val="9"/>
        <w:rPr>
          <w:rFonts w:ascii="仿宋_GB2312" w:hAnsi="仿宋_GB2312" w:eastAsia="仿宋_GB2312"/>
          <w:sz w:val="32"/>
          <w:szCs w:val="22"/>
          <w:highlight w:val="none"/>
        </w:rPr>
      </w:pPr>
      <w:r>
        <w:rPr>
          <w:rFonts w:hint="eastAsia" w:ascii="仿宋_GB2312" w:hAnsi="仿宋_GB2312" w:eastAsia="仿宋_GB2312"/>
          <w:sz w:val="32"/>
          <w:szCs w:val="22"/>
          <w:highlight w:val="none"/>
        </w:rPr>
        <w:t>1</w:t>
      </w:r>
      <w:r>
        <w:rPr>
          <w:rFonts w:hint="eastAsia" w:ascii="仿宋_GB2312" w:hAnsi="仿宋_GB2312" w:eastAsia="仿宋_GB2312"/>
          <w:sz w:val="32"/>
          <w:szCs w:val="2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/>
          <w:sz w:val="32"/>
          <w:szCs w:val="22"/>
          <w:highlight w:val="none"/>
        </w:rPr>
        <w:t>年满22周岁且贷款到期时年龄不超过65周岁；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6" w:firstLineChars="0"/>
        <w:textAlignment w:val="auto"/>
        <w:outlineLvl w:val="9"/>
        <w:rPr>
          <w:rFonts w:ascii="仿宋_GB2312" w:hAnsi="仿宋_GB2312" w:eastAsia="仿宋_GB2312"/>
          <w:sz w:val="32"/>
          <w:szCs w:val="22"/>
          <w:highlight w:val="none"/>
        </w:rPr>
      </w:pPr>
      <w:r>
        <w:rPr>
          <w:rFonts w:hint="eastAsia" w:ascii="仿宋_GB2312" w:hAnsi="仿宋_GB2312" w:eastAsia="仿宋_GB2312"/>
          <w:sz w:val="32"/>
          <w:szCs w:val="22"/>
          <w:highlight w:val="none"/>
        </w:rPr>
        <w:t>2</w:t>
      </w:r>
      <w:r>
        <w:rPr>
          <w:rFonts w:hint="eastAsia" w:ascii="仿宋_GB2312" w:hAnsi="仿宋_GB2312" w:eastAsia="仿宋_GB2312"/>
          <w:sz w:val="32"/>
          <w:szCs w:val="2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/>
          <w:sz w:val="32"/>
          <w:szCs w:val="22"/>
          <w:highlight w:val="none"/>
        </w:rPr>
        <w:t>具有中国国籍（不含港澳台），信用良好；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6" w:firstLineChars="0"/>
        <w:textAlignment w:val="auto"/>
        <w:outlineLvl w:val="9"/>
        <w:rPr>
          <w:rFonts w:ascii="仿宋_GB2312" w:hAnsi="仿宋_GB2312" w:eastAsia="仿宋_GB2312"/>
          <w:sz w:val="32"/>
          <w:szCs w:val="22"/>
          <w:highlight w:val="none"/>
        </w:rPr>
      </w:pPr>
      <w:r>
        <w:rPr>
          <w:rFonts w:hint="eastAsia" w:ascii="仿宋_GB2312" w:hAnsi="仿宋_GB2312" w:eastAsia="仿宋_GB2312"/>
          <w:sz w:val="32"/>
          <w:szCs w:val="22"/>
          <w:highlight w:val="none"/>
        </w:rPr>
        <w:t>3</w:t>
      </w:r>
      <w:r>
        <w:rPr>
          <w:rFonts w:hint="eastAsia" w:ascii="仿宋_GB2312" w:hAnsi="仿宋_GB2312" w:eastAsia="仿宋_GB2312"/>
          <w:sz w:val="32"/>
          <w:szCs w:val="2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/>
          <w:sz w:val="32"/>
          <w:szCs w:val="22"/>
          <w:highlight w:val="none"/>
        </w:rPr>
        <w:t>具有稳定的收入来源，收入能够覆盖到期贷款本息；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6" w:firstLineChars="0"/>
        <w:textAlignment w:val="auto"/>
        <w:outlineLvl w:val="9"/>
        <w:rPr>
          <w:rFonts w:ascii="仿宋_GB2312" w:hAnsi="仿宋_GB2312" w:eastAsia="仿宋_GB2312"/>
          <w:sz w:val="32"/>
          <w:szCs w:val="22"/>
          <w:highlight w:val="none"/>
        </w:rPr>
      </w:pPr>
      <w:r>
        <w:rPr>
          <w:rFonts w:hint="eastAsia" w:ascii="仿宋_GB2312" w:hAnsi="仿宋_GB2312" w:eastAsia="仿宋_GB2312"/>
          <w:sz w:val="32"/>
          <w:szCs w:val="2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/>
          <w:sz w:val="32"/>
          <w:szCs w:val="22"/>
          <w:highlight w:val="none"/>
        </w:rPr>
        <w:t>具备合法的经营资质。借款人包括个体工商户、企业合伙人/出资人/股东/法定代表人/实际控制人等；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6" w:firstLineChars="0"/>
        <w:textAlignment w:val="auto"/>
        <w:outlineLvl w:val="9"/>
        <w:rPr>
          <w:rFonts w:ascii="仿宋_GB2312" w:hAnsi="仿宋_GB2312" w:eastAsia="仿宋_GB2312"/>
          <w:sz w:val="32"/>
          <w:szCs w:val="22"/>
          <w:highlight w:val="none"/>
        </w:rPr>
      </w:pPr>
      <w:r>
        <w:rPr>
          <w:rFonts w:hint="eastAsia" w:ascii="仿宋_GB2312" w:hAnsi="仿宋_GB2312" w:eastAsia="仿宋_GB2312"/>
          <w:sz w:val="32"/>
          <w:szCs w:val="22"/>
          <w:highlight w:val="none"/>
        </w:rPr>
        <w:t>5</w:t>
      </w:r>
      <w:r>
        <w:rPr>
          <w:rFonts w:hint="eastAsia" w:ascii="仿宋_GB2312" w:hAnsi="仿宋_GB2312" w:eastAsia="仿宋_GB2312"/>
          <w:sz w:val="32"/>
          <w:szCs w:val="2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/>
          <w:sz w:val="32"/>
          <w:szCs w:val="22"/>
          <w:highlight w:val="none"/>
        </w:rPr>
        <w:t>能够提供符合要求的住房作为抵押。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ascii="楷体_GB2312" w:hAnsi="楷体_GB2312" w:eastAsia="楷体_GB2312"/>
          <w:sz w:val="32"/>
          <w:szCs w:val="22"/>
          <w:highlight w:val="none"/>
        </w:rPr>
      </w:pPr>
      <w:r>
        <w:rPr>
          <w:rFonts w:hint="eastAsia" w:ascii="楷体_GB2312" w:hAnsi="楷体_GB2312" w:eastAsia="楷体_GB2312"/>
          <w:sz w:val="32"/>
          <w:szCs w:val="22"/>
          <w:highlight w:val="none"/>
        </w:rPr>
        <w:t>（三）融资支持服务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6" w:firstLineChars="0"/>
        <w:textAlignment w:val="auto"/>
        <w:outlineLvl w:val="9"/>
        <w:rPr>
          <w:rFonts w:ascii="仿宋_GB2312" w:hAnsi="仿宋_GB2312" w:eastAsia="仿宋_GB2312"/>
          <w:sz w:val="32"/>
          <w:szCs w:val="22"/>
          <w:highlight w:val="none"/>
        </w:rPr>
      </w:pPr>
      <w:r>
        <w:rPr>
          <w:rFonts w:hint="eastAsia" w:ascii="仿宋_GB2312" w:hAnsi="仿宋_GB2312" w:eastAsia="仿宋_GB2312"/>
          <w:sz w:val="32"/>
          <w:szCs w:val="22"/>
          <w:highlight w:val="none"/>
        </w:rPr>
        <w:t>1</w:t>
      </w:r>
      <w:r>
        <w:rPr>
          <w:rFonts w:hint="eastAsia" w:ascii="仿宋_GB2312" w:hAnsi="仿宋_GB2312" w:eastAsia="仿宋_GB2312"/>
          <w:sz w:val="32"/>
          <w:szCs w:val="2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/>
          <w:sz w:val="32"/>
          <w:szCs w:val="22"/>
          <w:highlight w:val="none"/>
        </w:rPr>
        <w:t>授信金额：授信金额不超过人民币1000万元；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6" w:firstLineChars="0"/>
        <w:textAlignment w:val="auto"/>
        <w:outlineLvl w:val="9"/>
        <w:rPr>
          <w:rFonts w:ascii="仿宋_GB2312" w:hAnsi="仿宋_GB2312" w:eastAsia="仿宋_GB2312"/>
          <w:sz w:val="32"/>
          <w:szCs w:val="22"/>
          <w:highlight w:val="none"/>
        </w:rPr>
      </w:pPr>
      <w:r>
        <w:rPr>
          <w:rFonts w:hint="eastAsia" w:ascii="仿宋_GB2312" w:hAnsi="仿宋_GB2312" w:eastAsia="仿宋_GB2312"/>
          <w:sz w:val="32"/>
          <w:szCs w:val="22"/>
          <w:highlight w:val="none"/>
        </w:rPr>
        <w:t>2</w:t>
      </w:r>
      <w:r>
        <w:rPr>
          <w:rFonts w:hint="eastAsia" w:ascii="仿宋_GB2312" w:hAnsi="仿宋_GB2312" w:eastAsia="仿宋_GB2312"/>
          <w:sz w:val="32"/>
          <w:szCs w:val="2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/>
          <w:sz w:val="32"/>
          <w:szCs w:val="22"/>
          <w:highlight w:val="none"/>
        </w:rPr>
        <w:t>授信期限：授信额度有效期最长10年；单笔单批贷款期限最长20年；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6" w:firstLineChars="0"/>
        <w:textAlignment w:val="auto"/>
        <w:outlineLvl w:val="9"/>
        <w:rPr>
          <w:rFonts w:ascii="仿宋_GB2312" w:hAnsi="仿宋_GB2312" w:eastAsia="仿宋_GB2312"/>
          <w:sz w:val="32"/>
          <w:szCs w:val="22"/>
          <w:highlight w:val="none"/>
        </w:rPr>
      </w:pPr>
      <w:r>
        <w:rPr>
          <w:rFonts w:hint="eastAsia" w:ascii="仿宋_GB2312" w:hAnsi="仿宋_GB2312" w:eastAsia="仿宋_GB2312"/>
          <w:sz w:val="32"/>
          <w:szCs w:val="2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/>
          <w:sz w:val="32"/>
          <w:szCs w:val="22"/>
          <w:highlight w:val="none"/>
        </w:rPr>
        <w:t>担保方式：房产抵押；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6" w:firstLineChars="0"/>
        <w:textAlignment w:val="auto"/>
        <w:outlineLvl w:val="9"/>
        <w:rPr>
          <w:rFonts w:ascii="仿宋_GB2312" w:hAnsi="仿宋_GB2312" w:eastAsia="仿宋_GB2312"/>
          <w:sz w:val="32"/>
          <w:szCs w:val="22"/>
          <w:highlight w:val="none"/>
        </w:rPr>
      </w:pPr>
      <w:r>
        <w:rPr>
          <w:rFonts w:hint="eastAsia" w:ascii="仿宋_GB2312" w:hAnsi="仿宋_GB2312" w:eastAsia="仿宋_GB2312"/>
          <w:sz w:val="32"/>
          <w:szCs w:val="2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/>
          <w:sz w:val="32"/>
          <w:szCs w:val="22"/>
          <w:highlight w:val="none"/>
        </w:rPr>
        <w:t>抵押物：商品住房（含配套产权车位）、房产土地性质为出让，建筑面积50-300平方米，抵押率最高70%；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6" w:firstLineChars="0"/>
        <w:textAlignment w:val="auto"/>
        <w:outlineLvl w:val="9"/>
        <w:rPr>
          <w:rFonts w:ascii="仿宋_GB2312" w:hAnsi="仿宋_GB2312" w:eastAsia="仿宋_GB2312"/>
          <w:sz w:val="32"/>
          <w:szCs w:val="22"/>
          <w:highlight w:val="none"/>
        </w:rPr>
      </w:pPr>
      <w:r>
        <w:rPr>
          <w:rFonts w:hint="eastAsia" w:ascii="仿宋_GB2312" w:hAnsi="仿宋_GB2312" w:eastAsia="仿宋_GB2312"/>
          <w:sz w:val="32"/>
          <w:szCs w:val="2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/>
          <w:sz w:val="32"/>
          <w:szCs w:val="22"/>
          <w:highlight w:val="none"/>
        </w:rPr>
        <w:t>贷款用途：用于满足借款人生产经营所需；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/>
          <w:sz w:val="32"/>
          <w:szCs w:val="22"/>
          <w:highlight w:val="none"/>
        </w:rPr>
      </w:pPr>
      <w:r>
        <w:rPr>
          <w:rFonts w:hint="eastAsia" w:ascii="仿宋_GB2312" w:hAnsi="仿宋_GB2312" w:eastAsia="仿宋_GB2312"/>
          <w:sz w:val="32"/>
          <w:szCs w:val="2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/>
          <w:sz w:val="32"/>
          <w:szCs w:val="22"/>
          <w:highlight w:val="none"/>
        </w:rPr>
        <w:t>贷款利率：贷款利率执行浮动利率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6" w:firstLineChars="0"/>
        <w:textAlignment w:val="auto"/>
        <w:outlineLvl w:val="9"/>
        <w:rPr>
          <w:rFonts w:ascii="仿宋_GB2312" w:hAnsi="仿宋_GB2312" w:eastAsia="仿宋_GB2312"/>
          <w:sz w:val="32"/>
          <w:szCs w:val="22"/>
          <w:highlight w:val="none"/>
        </w:rPr>
      </w:pPr>
      <w:r>
        <w:rPr>
          <w:rFonts w:hint="eastAsia" w:ascii="仿宋_GB2312" w:hAnsi="仿宋_GB2312" w:eastAsia="仿宋_GB2312"/>
          <w:sz w:val="32"/>
          <w:szCs w:val="2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/>
          <w:sz w:val="32"/>
          <w:szCs w:val="22"/>
          <w:highlight w:val="none"/>
        </w:rPr>
        <w:t>还款方式：按月等额/等本、先1至36个月还息后按月等额/等本、按月还息按季/半年/年还本。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ascii="楷体_GB2312" w:hAnsi="楷体_GB2312" w:eastAsia="楷体_GB2312"/>
          <w:sz w:val="32"/>
          <w:szCs w:val="22"/>
          <w:highlight w:val="none"/>
        </w:rPr>
      </w:pPr>
      <w:r>
        <w:rPr>
          <w:rFonts w:hint="eastAsia" w:ascii="楷体_GB2312" w:hAnsi="楷体_GB2312" w:eastAsia="楷体_GB2312"/>
          <w:sz w:val="32"/>
          <w:szCs w:val="22"/>
          <w:highlight w:val="none"/>
        </w:rPr>
        <w:t>（四）专属服务支持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/>
          <w:sz w:val="32"/>
          <w:szCs w:val="22"/>
          <w:highlight w:val="none"/>
        </w:rPr>
      </w:pPr>
      <w:r>
        <w:rPr>
          <w:rFonts w:hint="eastAsia" w:ascii="仿宋_GB2312" w:hAnsi="仿宋_GB2312" w:eastAsia="仿宋_GB2312"/>
          <w:b/>
          <w:bCs/>
          <w:sz w:val="32"/>
          <w:szCs w:val="22"/>
          <w:highlight w:val="none"/>
        </w:rPr>
        <w:t>绿色通道审批</w:t>
      </w:r>
      <w:r>
        <w:rPr>
          <w:rFonts w:hint="eastAsia" w:ascii="仿宋_GB2312" w:hAnsi="仿宋_GB2312" w:eastAsia="仿宋_GB2312"/>
          <w:sz w:val="32"/>
          <w:szCs w:val="22"/>
          <w:highlight w:val="none"/>
        </w:rPr>
        <w:t>：对办理上述融资产品的客户，将实施绿色审批通道模式，贷款客户优先受理、优先审批、切实提升客户授信审批效率。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6" w:firstLineChars="0"/>
        <w:textAlignment w:val="auto"/>
        <w:outlineLvl w:val="9"/>
        <w:rPr>
          <w:rFonts w:ascii="仿宋_GB2312" w:hAnsi="仿宋_GB2312" w:eastAsia="仿宋_GB2312"/>
          <w:sz w:val="32"/>
          <w:szCs w:val="22"/>
          <w:highlight w:val="none"/>
        </w:rPr>
      </w:pPr>
      <w:r>
        <w:rPr>
          <w:rFonts w:hint="eastAsia" w:ascii="仿宋_GB2312" w:hAnsi="仿宋_GB2312" w:eastAsia="仿宋_GB2312"/>
          <w:b/>
          <w:bCs/>
          <w:sz w:val="32"/>
          <w:szCs w:val="22"/>
          <w:highlight w:val="none"/>
        </w:rPr>
        <w:t>降低客户成本</w:t>
      </w:r>
      <w:r>
        <w:rPr>
          <w:rFonts w:hint="eastAsia" w:ascii="仿宋_GB2312" w:hAnsi="仿宋_GB2312" w:eastAsia="仿宋_GB2312"/>
          <w:sz w:val="32"/>
          <w:szCs w:val="22"/>
          <w:highlight w:val="none"/>
        </w:rPr>
        <w:t>：免房产评估费、抵押登记费。</w:t>
      </w:r>
    </w:p>
    <w:p>
      <w:pPr>
        <w:pStyle w:val="5"/>
        <w:spacing w:line="540" w:lineRule="exact"/>
        <w:rPr>
          <w:rFonts w:ascii="仿宋_GB2312" w:hAnsi="仿宋_GB2312" w:eastAsia="仿宋_GB2312"/>
          <w:sz w:val="32"/>
          <w:szCs w:val="22"/>
          <w:highlight w:val="none"/>
        </w:rPr>
      </w:pPr>
    </w:p>
    <w:p>
      <w:pPr>
        <w:pStyle w:val="5"/>
        <w:spacing w:line="540" w:lineRule="exact"/>
        <w:ind w:firstLine="646"/>
        <w:rPr>
          <w:rFonts w:ascii="仿宋_GB2312" w:hAnsi="仿宋_GB2312" w:eastAsia="仿宋_GB2312"/>
          <w:sz w:val="32"/>
          <w:szCs w:val="22"/>
          <w:highlight w:val="none"/>
        </w:rPr>
      </w:pPr>
    </w:p>
    <w:p>
      <w:pPr>
        <w:pStyle w:val="5"/>
        <w:spacing w:line="480" w:lineRule="exact"/>
        <w:textAlignment w:val="center"/>
        <w:rPr>
          <w:rFonts w:ascii="黑体" w:hAnsi="黑体" w:eastAsia="黑体" w:cs="黑体"/>
          <w:color w:val="000000"/>
          <w:kern w:val="0"/>
          <w:sz w:val="28"/>
          <w:szCs w:val="28"/>
          <w:highlight w:val="none"/>
        </w:rPr>
      </w:pPr>
    </w:p>
    <w:p>
      <w:pPr>
        <w:pStyle w:val="5"/>
        <w:spacing w:line="480" w:lineRule="exact"/>
        <w:textAlignment w:val="center"/>
        <w:rPr>
          <w:rFonts w:hint="eastAsia" w:ascii="黑体" w:hAnsi="黑体" w:eastAsia="黑体" w:cs="黑体"/>
          <w:color w:val="000000"/>
          <w:kern w:val="0"/>
          <w:sz w:val="28"/>
          <w:szCs w:val="28"/>
          <w:highlight w:val="none"/>
        </w:rPr>
      </w:pPr>
    </w:p>
    <w:p>
      <w:pPr>
        <w:pStyle w:val="5"/>
        <w:spacing w:line="480" w:lineRule="exact"/>
        <w:textAlignment w:val="center"/>
        <w:rPr>
          <w:rFonts w:ascii="黑体" w:hAnsi="黑体" w:eastAsia="黑体" w:cs="黑体"/>
          <w:color w:val="000000"/>
          <w:kern w:val="0"/>
          <w:sz w:val="28"/>
          <w:szCs w:val="28"/>
          <w:highlight w:val="none"/>
        </w:rPr>
      </w:pPr>
    </w:p>
    <w:p>
      <w:pPr>
        <w:pStyle w:val="5"/>
        <w:spacing w:line="480" w:lineRule="exact"/>
        <w:textAlignment w:val="center"/>
        <w:rPr>
          <w:rFonts w:ascii="黑体" w:hAnsi="黑体" w:eastAsia="黑体" w:cs="黑体"/>
          <w:color w:val="000000"/>
          <w:kern w:val="0"/>
          <w:sz w:val="28"/>
          <w:szCs w:val="28"/>
          <w:highlight w:val="none"/>
        </w:rPr>
      </w:pPr>
    </w:p>
    <w:p>
      <w:pPr>
        <w:pStyle w:val="5"/>
        <w:spacing w:line="480" w:lineRule="exact"/>
        <w:textAlignment w:val="center"/>
        <w:rPr>
          <w:rFonts w:ascii="黑体" w:hAnsi="黑体" w:eastAsia="黑体" w:cs="黑体"/>
          <w:color w:val="000000"/>
          <w:kern w:val="0"/>
          <w:sz w:val="28"/>
          <w:szCs w:val="28"/>
          <w:highlight w:val="none"/>
        </w:rPr>
      </w:pPr>
    </w:p>
    <w:p>
      <w:pPr>
        <w:pStyle w:val="5"/>
        <w:spacing w:line="480" w:lineRule="exact"/>
        <w:textAlignment w:val="center"/>
        <w:rPr>
          <w:rFonts w:ascii="黑体" w:hAnsi="黑体" w:eastAsia="黑体" w:cs="黑体"/>
          <w:color w:val="000000"/>
          <w:kern w:val="0"/>
          <w:sz w:val="28"/>
          <w:szCs w:val="28"/>
          <w:highlight w:val="none"/>
        </w:rPr>
      </w:pPr>
    </w:p>
    <w:p>
      <w:pPr>
        <w:pStyle w:val="5"/>
        <w:spacing w:line="480" w:lineRule="exact"/>
        <w:textAlignment w:val="center"/>
        <w:rPr>
          <w:rFonts w:ascii="黑体" w:hAnsi="黑体" w:eastAsia="黑体" w:cs="黑体"/>
          <w:color w:val="000000"/>
          <w:kern w:val="0"/>
          <w:sz w:val="28"/>
          <w:szCs w:val="28"/>
          <w:highlight w:val="none"/>
        </w:rPr>
      </w:pPr>
    </w:p>
    <w:p>
      <w:pPr>
        <w:pStyle w:val="5"/>
        <w:spacing w:line="480" w:lineRule="exact"/>
        <w:textAlignment w:val="center"/>
        <w:rPr>
          <w:rFonts w:ascii="黑体" w:hAnsi="黑体" w:eastAsia="黑体" w:cs="黑体"/>
          <w:color w:val="000000"/>
          <w:kern w:val="0"/>
          <w:sz w:val="28"/>
          <w:szCs w:val="28"/>
          <w:highlight w:val="none"/>
        </w:rPr>
      </w:pPr>
    </w:p>
    <w:p>
      <w:pPr>
        <w:pStyle w:val="5"/>
        <w:spacing w:line="480" w:lineRule="exact"/>
        <w:textAlignment w:val="center"/>
        <w:rPr>
          <w:rFonts w:ascii="黑体" w:hAnsi="黑体" w:eastAsia="黑体" w:cs="黑体"/>
          <w:color w:val="000000"/>
          <w:kern w:val="0"/>
          <w:sz w:val="28"/>
          <w:szCs w:val="28"/>
          <w:highlight w:val="none"/>
        </w:rPr>
      </w:pPr>
    </w:p>
    <w:p>
      <w:pPr>
        <w:pStyle w:val="5"/>
        <w:spacing w:line="480" w:lineRule="exact"/>
        <w:textAlignment w:val="center"/>
        <w:rPr>
          <w:rFonts w:ascii="仿宋_GB2312" w:hAnsi="宋体" w:eastAsia="仿宋_GB2312" w:cs="仿宋_GB2312"/>
          <w:color w:val="000000"/>
          <w:kern w:val="0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highlight w:val="none"/>
        </w:rPr>
        <w:t>附表</w:t>
      </w:r>
    </w:p>
    <w:p>
      <w:pPr>
        <w:pStyle w:val="5"/>
        <w:spacing w:line="480" w:lineRule="exact"/>
        <w:textAlignment w:val="center"/>
        <w:rPr>
          <w:rFonts w:ascii="仿宋_GB2312" w:hAnsi="宋体" w:eastAsia="仿宋_GB2312" w:cs="仿宋_GB2312"/>
          <w:color w:val="000000"/>
          <w:kern w:val="0"/>
          <w:sz w:val="24"/>
          <w:szCs w:val="24"/>
          <w:highlight w:val="none"/>
        </w:rPr>
      </w:pPr>
    </w:p>
    <w:p>
      <w:pPr>
        <w:pStyle w:val="5"/>
        <w:spacing w:line="660" w:lineRule="exact"/>
        <w:jc w:val="center"/>
        <w:textAlignment w:val="center"/>
        <w:rPr>
          <w:rFonts w:ascii="方正小标宋简体" w:hAnsi="方正小标宋简体" w:eastAsia="方正小标宋简体" w:cs="仿宋_GB2312"/>
          <w:color w:val="000000"/>
          <w:kern w:val="0"/>
          <w:sz w:val="44"/>
          <w:szCs w:val="32"/>
          <w:highlight w:val="none"/>
        </w:rPr>
      </w:pPr>
      <w:r>
        <w:rPr>
          <w:rFonts w:hint="eastAsia" w:ascii="方正小标宋简体" w:hAnsi="方正小标宋简体" w:eastAsia="方正小标宋简体" w:cs="仿宋_GB2312"/>
          <w:color w:val="000000"/>
          <w:kern w:val="0"/>
          <w:sz w:val="44"/>
          <w:szCs w:val="32"/>
          <w:highlight w:val="none"/>
        </w:rPr>
        <w:t>佛山各区光大银行主要对接人名单</w:t>
      </w:r>
    </w:p>
    <w:p>
      <w:pPr>
        <w:pStyle w:val="5"/>
        <w:jc w:val="center"/>
        <w:textAlignment w:val="center"/>
        <w:rPr>
          <w:rFonts w:ascii="方正小标宋简体" w:hAnsi="方正小标宋简体" w:eastAsia="方正小标宋简体" w:cs="仿宋_GB2312"/>
          <w:color w:val="000000"/>
          <w:kern w:val="0"/>
          <w:sz w:val="32"/>
          <w:szCs w:val="22"/>
          <w:highlight w:val="none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2220"/>
        <w:gridCol w:w="1532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highlight w:val="none"/>
              </w:rPr>
              <w:t>部门/支行</w:t>
            </w:r>
          </w:p>
        </w:tc>
        <w:tc>
          <w:tcPr>
            <w:tcW w:w="1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highlight w:val="none"/>
              </w:rPr>
              <w:t>联系人</w:t>
            </w:r>
          </w:p>
        </w:tc>
        <w:tc>
          <w:tcPr>
            <w:tcW w:w="1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highlight w:val="no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金融市场部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先生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13702544971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金融市场部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先生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13902808249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公司业务一部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谭小姐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18927799080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分行营业部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李先生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13922463355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禅城支行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刘先生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13925490678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顺德支行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胡先生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13925135757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大沥支行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徐先生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13902840777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容桂支行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李先生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13929912798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南庄支行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古小姐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13809817833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三水支行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黄先生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13923159998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乐从支行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关小姐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13612470178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里水支行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吉小姐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18002239868</w:t>
            </w:r>
          </w:p>
        </w:tc>
      </w:tr>
    </w:tbl>
    <w:p>
      <w:pPr>
        <w:pStyle w:val="5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22"/>
          <w:highlight w:val="none"/>
        </w:rPr>
      </w:pPr>
    </w:p>
    <w:p>
      <w:pPr>
        <w:pStyle w:val="6"/>
        <w:spacing w:line="560" w:lineRule="exact"/>
        <w:jc w:val="both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6"/>
        <w:spacing w:line="560" w:lineRule="exact"/>
        <w:jc w:val="both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6"/>
        <w:spacing w:line="560" w:lineRule="exact"/>
        <w:jc w:val="both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F7E6D"/>
    <w:rsid w:val="5E2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customStyle="1" w:styleId="5">
    <w:name w:val="正文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6">
    <w:name w:val="正文 New New New New New New New New New New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2020-06-11T02:20:00Z</dcterms:created>
  <dc:creator>liuyi</dc:creator>
  <cp:lastModifiedBy>liuyi</cp:lastModifiedBy>
  <dcterms:modified xsi:type="dcterms:W3CDTF">2020-06-11T02:22:59Z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