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66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  <w:highlight w:val="none"/>
          <w:lang w:eastAsia="zh-CN" w:bidi="ar-SA"/>
        </w:rPr>
      </w:pPr>
      <w:bookmarkStart w:id="0" w:name="_GoBack"/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广发银行佛山分行</w:t>
      </w:r>
      <w:r>
        <w:rPr>
          <w:rFonts w:hint="eastAsia" w:ascii="方正小标宋简体" w:hAnsi="宋体" w:eastAsia="方正小标宋简体" w:cs="Times New Roman"/>
          <w:sz w:val="44"/>
          <w:szCs w:val="44"/>
          <w:highlight w:val="none"/>
          <w:lang w:val="en-US" w:eastAsia="zh-CN" w:bidi="ar-SA"/>
        </w:rPr>
        <w:t>支持外贸企业发展服务方案</w:t>
      </w:r>
    </w:p>
    <w:bookmarkEnd w:id="0"/>
    <w:p>
      <w:pPr>
        <w:pStyle w:val="6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highlight w:val="none"/>
          <w:lang w:bidi="ar-SA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bidi="ar-SA"/>
        </w:rPr>
        <w:t>广发银行是国有控股的全国性股份制商业银行，并在佛山南海建有集科技、国际业务单证、运维保障等多功能于一体的强大的服务支撑中心。广发银行佛山分行为直属一级分行，始终坚持金融服务实体经济，贯彻落实党中央“六稳”“六保”工作要求，依托中国人寿平台，充分发挥保银协同优势、总部优势以及服务优势，特为佛山外贸企业制定“护航稳外贸”的综合金融服务方案，并推出六项关键措施，更好地服务国家外贸经济发展大局，以金融之力稳住外贸基本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3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highlight w:val="none"/>
          <w:lang w:bidi="ar-SA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highlight w:val="none"/>
          <w:lang w:bidi="ar-SA"/>
        </w:rPr>
        <w:t>一是开通跨境金融服务快捷通道。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bidi="ar-SA"/>
        </w:rPr>
        <w:t>积极响应国家稳外贸工作要求，开通跨境金融服务快捷通道，优先为涉及应急物资进口的企业办理业务，通过总行集中处理、提供专业化服务、分行专人专岗，保证业务效率；服务稳外贸工作大局，对外贸企业给予业务支持和手续费优惠；对于符合我行“优先级”范围的外贸客户开通快捷授信审批通道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3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highlight w:val="none"/>
          <w:lang w:bidi="ar-SA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highlight w:val="none"/>
          <w:lang w:bidi="ar-SA"/>
        </w:rPr>
        <w:t>二是依托供应链提供融资服务。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bidi="ar-SA"/>
        </w:rPr>
        <w:t>围绕供应链上下游，为外贸企业在线提供保理、订单融资、预付款融资及票据融资等多种融资方案。我行e秒贴现、e秒票据质押、e秒票据池、e秒开票等“互联网+票据”的应用方案，为外贸企业提供安全、便捷的在线票据融资服务，解决传统票据融资业务流程长、效率低的痛点；e秒供应链产品助力外贸企业轻松实现供应链融资业务的“秒级”放款，同时支持随借随还、线上订单确认、线上提赎货等操作，助力外贸企业提高供应链效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3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highlight w:val="none"/>
          <w:lang w:bidi="ar-SA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highlight w:val="none"/>
          <w:lang w:bidi="ar-SA"/>
        </w:rPr>
        <w:t>三是提供线上化跨境产品便捷服务。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bidi="ar-SA"/>
        </w:rPr>
        <w:t>深入了解企业痛点，聚焦国际业务线上化便捷服务，推出“跨境瞬时通”系列8大在线产品。通过企业网银、手机银行、现金管理等对公电子渠道或第三方平台，在线提交业务申请或资料，办理收付汇、信用证开证及押汇、关税缴纳及海关税费保函信息电子传输、外币存款定活互转等国际业务。通过便捷的线上化处理，节约客户人力、物力成本，提升国际业务的效率，为外贸稳定提供有力的金融支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3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highlight w:val="none"/>
          <w:lang w:bidi="ar-SA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highlight w:val="none"/>
          <w:lang w:bidi="ar-SA"/>
        </w:rPr>
        <w:t>四是加大对外贸企业的信贷支持。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bidi="ar-SA"/>
        </w:rPr>
        <w:t>加大信贷支持力度，提供控货权进口开证、进口押汇、出口押汇、信保融资、保函等多渠道融资方案，满足境内外贸企业本外币的融资需求，降低企业融资成本，并确保信贷资金高效使用；特色贷款产品出口退税账户托管贷款，解决出口企业出口退税款未能及时到账而出现短期资金困难；为外贸企业提供涵盖境内外合作伙伴的全球化供应链金融服务，以及一站式的跨境联动综合服务方案，帮助企业寻找最优融资方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3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highlight w:val="none"/>
          <w:lang w:bidi="ar-SA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highlight w:val="none"/>
          <w:lang w:bidi="ar-SA"/>
        </w:rPr>
        <w:t>五是发展普惠金融，服务外贸小微企业。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bidi="ar-SA"/>
        </w:rPr>
        <w:t>推广普惠金融专项信贷产品，对诚信纳税的外贸小微企业提供小额信用贷款产品，实现从客户授信申请、审批、合同签约、提款、还款的全线上办理，多措并举解决外贸小微企业融资“融资难、融资贵”的痛点。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left="0" w:leftChars="0" w:firstLine="643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highlight w:val="none"/>
          <w:lang w:bidi="ar-SA"/>
        </w:rPr>
      </w:pPr>
      <w:r>
        <w:rPr>
          <w:rFonts w:hint="eastAsia" w:ascii="仿宋_GB2312" w:hAnsi="宋体" w:eastAsia="仿宋_GB2312" w:cs="Times New Roman"/>
          <w:b/>
          <w:bCs/>
          <w:sz w:val="32"/>
          <w:szCs w:val="32"/>
          <w:highlight w:val="none"/>
          <w:lang w:bidi="ar-SA"/>
        </w:rPr>
        <w:t>六是深化与政府、信保等机构的合作，为外贸企业增信。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bidi="ar-SA"/>
        </w:rPr>
        <w:t>通过与出口信用保险公司及政府机构的合作，为企业融资提供增信，以完善的贸易融资产品体系和丰富的业务合作模式，满足客户进出口项下各类融资需求；持续开展禅城区科技型风险补偿基金、西樵政银、九江政银等政银合作项目，重点推广佛山市融担基金业务，多措并举为外贸企业提供强有力信贷支持 。</w:t>
      </w:r>
    </w:p>
    <w:p>
      <w:pPr>
        <w:pStyle w:val="4"/>
        <w:spacing w:line="48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spacing w:line="48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spacing w:line="48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spacing w:line="48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spacing w:line="48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spacing w:line="48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spacing w:line="48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spacing w:line="48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spacing w:line="48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spacing w:line="48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spacing w:line="48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spacing w:line="48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spacing w:line="48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spacing w:line="48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黑体" w:hAnsi="黑体" w:eastAsia="黑体" w:cs="黑体"/>
          <w:sz w:val="32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8"/>
          <w:highlight w:val="none"/>
          <w:lang w:val="en-US" w:eastAsia="zh-CN"/>
        </w:rPr>
        <w:t>附表</w:t>
      </w:r>
    </w:p>
    <w:p>
      <w:pPr>
        <w:pStyle w:val="5"/>
        <w:ind w:left="0" w:leftChars="0" w:right="0" w:rightChars="0" w:firstLine="0" w:firstLineChars="0"/>
        <w:jc w:val="center"/>
        <w:rPr>
          <w:rFonts w:hint="eastAsia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佛山各区广发银行主要对接人名单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3183"/>
        <w:gridCol w:w="1375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区域</w:t>
            </w: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机构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联系人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顺德区</w:t>
            </w: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乐从支行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汤先生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13202386239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顺德分行营业部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吴女士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15986090984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大良支行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刘先生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13924861666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勒流支行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何先生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13516618123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北滘支行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郭先生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13751531384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容桂支行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陈女士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13420696696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龙江支行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莫先生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13798611223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陈村支行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高先生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15622228866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三水区</w:t>
            </w: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三水支行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张先生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13925935880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广健支行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吴先生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13824507990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南海区</w:t>
            </w: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里水支行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陈先生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18188733737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狮山支行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谢先生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18566061002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罗村支行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梁先生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13760900040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平洲支行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黄先生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13798680755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西樵支行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区先生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18520909961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大沥支行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梁先生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18688296667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沥东支行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叶先生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18566304561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桂城支行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林先生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13928510109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南海分行营业部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洪女士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13928575580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千灯湖支行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廖先生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13929118231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九江支行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范先生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13702982641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高明区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荷城支行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关先生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13928517553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高明支行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吴先生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18038683199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restart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禅城区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新湾支行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蓝先生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18824897930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湖景支行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张先生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13923209975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新民支行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张先生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15817835579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新江支行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陈先生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13709665337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城南支行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李先生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13923111989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永丰支行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邱女士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13630165120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佛山分行营业部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廖先生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18188732566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丽日支行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司徒先生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13632346990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新发支行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何先生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18676590997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南庄支行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谭先生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13415599832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大院支行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伍女士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13827721321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新卫支行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石女士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13528973288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20" w:type="dxa"/>
            <w:vMerge w:val="continue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83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大福支行</w:t>
            </w:r>
          </w:p>
        </w:tc>
        <w:tc>
          <w:tcPr>
            <w:tcW w:w="1375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陈先生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18675185700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566FD"/>
    <w:rsid w:val="7485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"/>
    <w:next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宋体"/>
      <w:color w:val="000000"/>
      <w:sz w:val="24"/>
      <w:szCs w:val="22"/>
      <w:lang w:val="en-US" w:eastAsia="zh-CN" w:bidi="ar-SA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2020-06-10T09:30:00Z</dcterms:created>
  <dc:creator>liuyi</dc:creator>
  <cp:lastModifiedBy>liuyi</cp:lastModifiedBy>
  <dcterms:modified xsi:type="dcterms:W3CDTF">2020-06-10T09:31:04Z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