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bidi w:val="0"/>
        <w:snapToGrid w:val="0"/>
        <w:spacing w:line="560" w:lineRule="exact"/>
        <w:jc w:val="center"/>
        <w:textAlignment w:val="auto"/>
        <w:rPr>
          <w:rFonts w:hint="eastAsia" w:ascii="方正小标宋简体" w:hAnsi="宋体" w:eastAsia="方正小标宋简体" w:cs="Times New Roman"/>
          <w:sz w:val="44"/>
          <w:szCs w:val="44"/>
          <w:highlight w:val="none"/>
          <w:lang w:val="en-US" w:eastAsia="zh-CN" w:bidi="ar-SA"/>
        </w:rPr>
      </w:pPr>
      <w:bookmarkStart w:id="0" w:name="_GoBack"/>
      <w:r>
        <w:rPr>
          <w:rFonts w:hint="eastAsia" w:ascii="方正小标宋简体" w:hAnsi="宋体" w:eastAsia="方正小标宋简体" w:cs="Times New Roman"/>
          <w:sz w:val="44"/>
          <w:szCs w:val="44"/>
          <w:highlight w:val="none"/>
          <w:lang w:val="en-US" w:eastAsia="zh-CN" w:bidi="ar-SA"/>
        </w:rPr>
        <w:t>中国银行佛山分行支持外贸企业发展服务方案</w:t>
      </w:r>
    </w:p>
    <w:bookmarkEnd w:id="0"/>
    <w:p>
      <w:pPr>
        <w:pStyle w:val="4"/>
        <w:keepNext w:val="0"/>
        <w:keepLines w:val="0"/>
        <w:pageBreakBefore w:val="0"/>
        <w:widowControl/>
        <w:kinsoku/>
        <w:wordWrap/>
        <w:overflowPunct/>
        <w:topLinePunct w:val="0"/>
        <w:bidi w:val="0"/>
        <w:spacing w:line="560" w:lineRule="exact"/>
        <w:ind w:firstLine="960" w:firstLineChars="300"/>
        <w:jc w:val="left"/>
        <w:textAlignment w:val="auto"/>
        <w:rPr>
          <w:rFonts w:hint="eastAsia" w:ascii="仿宋_GB2312" w:hAnsi="宋体" w:eastAsia="仿宋_GB2312" w:cs="Times New Roman"/>
          <w:sz w:val="32"/>
          <w:szCs w:val="32"/>
          <w:highlight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宋体" w:eastAsia="仿宋_GB2312" w:cs="Times New Roman"/>
          <w:sz w:val="32"/>
          <w:szCs w:val="32"/>
          <w:highlight w:val="none"/>
          <w:lang w:val="en-US" w:eastAsia="zh-CN" w:bidi="ar-SA"/>
        </w:rPr>
      </w:pPr>
      <w:r>
        <w:rPr>
          <w:rFonts w:hint="eastAsia" w:ascii="仿宋_GB2312" w:hAnsi="宋体" w:eastAsia="仿宋_GB2312" w:cs="Times New Roman"/>
          <w:sz w:val="32"/>
          <w:szCs w:val="32"/>
          <w:highlight w:val="none"/>
          <w:lang w:val="en-US" w:eastAsia="zh-CN" w:bidi="ar-SA"/>
        </w:rPr>
        <w:t>为贯彻落实金融支持“六稳”“六保”的重要精神和工作要求，中国银行佛山分行推出外贸领域“稳外贸”复工复产金融服务，加大对外贸领域的金融支持力度，提供全方位金融服务。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bidi="ar-SA"/>
        </w:rPr>
      </w:pPr>
      <w:r>
        <w:rPr>
          <w:rFonts w:hint="eastAsia" w:ascii="黑体" w:hAnsi="宋体" w:eastAsia="黑体" w:cs="Times New Roman"/>
          <w:sz w:val="32"/>
          <w:szCs w:val="32"/>
          <w:highlight w:val="none"/>
          <w:lang w:bidi="ar-SA"/>
        </w:rPr>
        <w:t>一、支持范围</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outlineLvl w:val="9"/>
        <w:rPr>
          <w:rFonts w:hint="eastAsia" w:ascii="仿宋_GB2312" w:hAnsi="宋体" w:eastAsia="仿宋_GB2312" w:cs="Times New Roman"/>
          <w:sz w:val="32"/>
          <w:szCs w:val="32"/>
          <w:highlight w:val="none"/>
          <w:lang w:val="en-US" w:eastAsia="zh-CN" w:bidi="ar-SA"/>
        </w:rPr>
      </w:pPr>
      <w:r>
        <w:rPr>
          <w:rFonts w:hint="eastAsia" w:ascii="仿宋_GB2312" w:hAnsi="宋体" w:eastAsia="仿宋_GB2312" w:cs="Times New Roman"/>
          <w:sz w:val="32"/>
          <w:szCs w:val="32"/>
          <w:highlight w:val="none"/>
          <w:lang w:val="en-US" w:eastAsia="zh-CN" w:bidi="ar-SA"/>
        </w:rPr>
        <w:t>对纳入以下范围的企业和项目，可以申请“稳外贸”专属金融服务：外贸企业、外资企业、跨境电商企业、跨国集团等外贸领域企业。</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bidi="ar-SA"/>
        </w:rPr>
      </w:pPr>
      <w:r>
        <w:rPr>
          <w:rFonts w:hint="eastAsia" w:ascii="黑体" w:hAnsi="宋体" w:eastAsia="黑体" w:cs="Times New Roman"/>
          <w:sz w:val="32"/>
          <w:szCs w:val="32"/>
          <w:highlight w:val="none"/>
          <w:lang w:bidi="ar-SA"/>
        </w:rPr>
        <w:t>二、金融支持</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楷体_GB2312" w:hAnsi="Calibri" w:eastAsia="楷体_GB2312" w:cs="Times New Roman"/>
          <w:b w:val="0"/>
          <w:bCs/>
          <w:sz w:val="32"/>
          <w:szCs w:val="32"/>
          <w:highlight w:val="none"/>
          <w:lang w:bidi="ar-SA"/>
        </w:rPr>
      </w:pPr>
      <w:r>
        <w:rPr>
          <w:rFonts w:hint="eastAsia" w:ascii="楷体_GB2312" w:hAnsi="Calibri" w:eastAsia="楷体_GB2312" w:cs="Times New Roman"/>
          <w:b w:val="0"/>
          <w:bCs/>
          <w:sz w:val="32"/>
          <w:szCs w:val="32"/>
          <w:highlight w:val="none"/>
          <w:lang w:bidi="ar-SA"/>
        </w:rPr>
        <w:t>（一）专项信贷资金支持</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val="en-US" w:eastAsia="zh-CN" w:bidi="ar-SA"/>
        </w:rPr>
      </w:pPr>
      <w:r>
        <w:rPr>
          <w:rFonts w:hint="eastAsia" w:ascii="仿宋_GB2312" w:hAnsi="宋体" w:eastAsia="仿宋_GB2312" w:cs="Times New Roman"/>
          <w:sz w:val="32"/>
          <w:szCs w:val="32"/>
          <w:highlight w:val="none"/>
          <w:lang w:val="en-US" w:eastAsia="zh-CN" w:bidi="ar-SA"/>
        </w:rPr>
        <w:t>中国银行广东省分行设立200亿元专项信贷额度，服务企业开展外贸活动、恢复市场经营、助推复工复产。根据企业情况提供包括流动资金贷款、固定资产贷款、贸易融资、票据贴现等业务品种在内的一体化融资支持方案。</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楷体_GB2312" w:hAnsi="Calibri" w:eastAsia="楷体_GB2312" w:cs="Times New Roman"/>
          <w:b w:val="0"/>
          <w:bCs/>
          <w:sz w:val="32"/>
          <w:szCs w:val="32"/>
          <w:highlight w:val="none"/>
          <w:lang w:bidi="ar-SA"/>
        </w:rPr>
      </w:pPr>
      <w:r>
        <w:rPr>
          <w:rFonts w:hint="eastAsia" w:ascii="楷体_GB2312" w:hAnsi="Calibri" w:eastAsia="楷体_GB2312" w:cs="Times New Roman"/>
          <w:b w:val="0"/>
          <w:bCs/>
          <w:sz w:val="32"/>
          <w:szCs w:val="32"/>
          <w:highlight w:val="none"/>
          <w:lang w:bidi="ar-SA"/>
        </w:rPr>
        <w:t>（二）专属融资产品支持</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val="en-US" w:eastAsia="zh-CN" w:bidi="ar-SA"/>
        </w:rPr>
      </w:pPr>
      <w:r>
        <w:rPr>
          <w:rFonts w:hint="eastAsia" w:ascii="仿宋_GB2312" w:hAnsi="宋体" w:eastAsia="仿宋_GB2312" w:cs="Times New Roman"/>
          <w:sz w:val="32"/>
          <w:szCs w:val="32"/>
          <w:highlight w:val="none"/>
          <w:lang w:val="en-US" w:eastAsia="zh-CN" w:bidi="ar-SA"/>
        </w:rPr>
        <w:t>为支持广东省内防控新型冠状病毒感染肺炎疫情的重点企业、针对因疫情原因出现的暂时性资金困难（疫情发生前企业自身经营正常）的重点企业，提供专项信贷产品，审批时效快、利率低、额度灵活、针对性强。根据企业实际情况提供包括流动资金贷款、固定资产贷款、贸易融资、票据贴现等业务品种在内的一体化融资支持方案，推出“单一窗口税费融资”等专属产品，支持加工贸易型及出口贸易型企业。</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楷体_GB2312" w:hAnsi="Calibri" w:eastAsia="楷体_GB2312" w:cs="Times New Roman"/>
          <w:b w:val="0"/>
          <w:bCs/>
          <w:sz w:val="32"/>
          <w:szCs w:val="32"/>
          <w:highlight w:val="none"/>
          <w:lang w:bidi="ar-SA"/>
        </w:rPr>
      </w:pPr>
      <w:r>
        <w:rPr>
          <w:rFonts w:hint="eastAsia" w:ascii="楷体_GB2312" w:hAnsi="Calibri" w:eastAsia="楷体_GB2312" w:cs="Times New Roman"/>
          <w:b w:val="0"/>
          <w:bCs/>
          <w:sz w:val="32"/>
          <w:szCs w:val="32"/>
          <w:highlight w:val="none"/>
          <w:lang w:bidi="ar-SA"/>
        </w:rPr>
        <w:t>（三）专项贷款利率优惠</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val="en-US" w:eastAsia="zh-CN" w:bidi="ar-SA"/>
        </w:rPr>
      </w:pPr>
      <w:r>
        <w:rPr>
          <w:rFonts w:hint="eastAsia" w:ascii="仿宋_GB2312" w:hAnsi="宋体" w:eastAsia="仿宋_GB2312" w:cs="Times New Roman"/>
          <w:sz w:val="32"/>
          <w:szCs w:val="32"/>
          <w:highlight w:val="none"/>
          <w:lang w:val="en-US" w:eastAsia="zh-CN" w:bidi="ar-SA"/>
        </w:rPr>
        <w:t xml:space="preserve">针对大型外贸领域企业，如为中国银行广东省分行存量客户力争新发放贷款融资利率低于上年平均水平，新客户参照同类型客户中最高信用评级标准享受优惠利率；针对中、小、微外贸领域企业，进一步加强利率定价管理，加大利率优惠，实现新发放贷款利率逐笔降低，通过免除抵、质押物评估费等，尽最大可能对小微企业实行优惠让利。 </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楷体_GB2312" w:hAnsi="Calibri" w:eastAsia="楷体_GB2312" w:cs="Times New Roman"/>
          <w:b w:val="0"/>
          <w:bCs/>
          <w:sz w:val="32"/>
          <w:szCs w:val="32"/>
          <w:highlight w:val="none"/>
          <w:lang w:bidi="ar-SA"/>
        </w:rPr>
      </w:pPr>
      <w:r>
        <w:rPr>
          <w:rFonts w:hint="eastAsia" w:ascii="楷体_GB2312" w:hAnsi="Calibri" w:eastAsia="楷体_GB2312" w:cs="Times New Roman"/>
          <w:b w:val="0"/>
          <w:bCs/>
          <w:sz w:val="32"/>
          <w:szCs w:val="32"/>
          <w:highlight w:val="none"/>
          <w:lang w:bidi="ar-SA"/>
        </w:rPr>
        <w:t>（四）专项服务收费服务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val="en-US" w:eastAsia="zh-CN" w:bidi="ar-SA"/>
        </w:rPr>
      </w:pPr>
      <w:r>
        <w:rPr>
          <w:rFonts w:hint="eastAsia" w:ascii="仿宋_GB2312" w:hAnsi="宋体" w:eastAsia="仿宋_GB2312" w:cs="Times New Roman"/>
          <w:sz w:val="32"/>
          <w:szCs w:val="32"/>
          <w:highlight w:val="none"/>
          <w:lang w:val="en-US" w:eastAsia="zh-CN" w:bidi="ar-SA"/>
        </w:rPr>
        <w:t>如为中国银行广东省分行新客户享受首年账户开户套餐费用全免（包含账户开户费、企业网银使用费、手机银行使用费全免）。跨境汇款、信用证、保函、银行承兑汇票等业务手续费专项优惠。对于捐赠转账汇款以及涉及疫情防控事项须加急开出的保函全部实施免收相关手续费政策，切实支持抗击疫情工作开展。相关部委、地方政府疫情防控重点保障名单内企业的进出口业务和进口关税保险，给予优先处理，并减免手续费。2020年6月30日前，外贸进出口相关物流企业支付国际运费，中国银行免收汇款手续费；通过国际贸易“单一窗口”、电子审单、企业网银等渠道叙做跨境贸易项下汇款，减免50%手续费；对中小企业出口业务单据处理给予最高减免50%手续费优惠。</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楷体_GB2312" w:hAnsi="Calibri" w:eastAsia="楷体_GB2312" w:cs="Times New Roman"/>
          <w:b w:val="0"/>
          <w:bCs/>
          <w:sz w:val="32"/>
          <w:szCs w:val="32"/>
          <w:highlight w:val="none"/>
          <w:lang w:bidi="ar-SA"/>
        </w:rPr>
      </w:pPr>
      <w:r>
        <w:rPr>
          <w:rFonts w:hint="eastAsia" w:ascii="楷体_GB2312" w:hAnsi="Calibri" w:eastAsia="楷体_GB2312" w:cs="Times New Roman"/>
          <w:b w:val="0"/>
          <w:bCs/>
          <w:sz w:val="32"/>
          <w:szCs w:val="32"/>
          <w:highlight w:val="none"/>
          <w:lang w:bidi="ar-SA"/>
        </w:rPr>
        <w:t>（五）便捷线上金融服务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提供企业网银、手机银行、银企直连等多种线上渠道，涵盖预约开户、国际汇款、结汇、单证、保函、供应链、中银票e贴、跨境资金池、中银全球现金管理等金融服务的“e企赢”综合解决方案。</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楷体_GB2312" w:hAnsi="Calibri" w:eastAsia="楷体_GB2312" w:cs="Times New Roman"/>
          <w:b w:val="0"/>
          <w:bCs/>
          <w:sz w:val="32"/>
          <w:szCs w:val="32"/>
          <w:highlight w:val="none"/>
          <w:lang w:bidi="ar-SA"/>
        </w:rPr>
      </w:pPr>
      <w:r>
        <w:rPr>
          <w:rFonts w:hint="eastAsia" w:ascii="楷体_GB2312" w:hAnsi="Calibri" w:eastAsia="楷体_GB2312" w:cs="Times New Roman"/>
          <w:b w:val="0"/>
          <w:bCs/>
          <w:sz w:val="32"/>
          <w:szCs w:val="32"/>
          <w:highlight w:val="none"/>
          <w:lang w:bidi="ar-SA"/>
        </w:rPr>
        <w:t>（六）专属绿色通道服务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对于重点保障和支持企业，在风险可控和合规的前提下，采取</w:t>
      </w:r>
      <w:r>
        <w:rPr>
          <w:rFonts w:hint="eastAsia" w:ascii="仿宋_GB2312" w:hAnsi="华文楷体" w:eastAsia="仿宋_GB2312"/>
          <w:sz w:val="32"/>
          <w:szCs w:val="32"/>
          <w:highlight w:val="none"/>
          <w:lang w:eastAsia="zh-CN"/>
        </w:rPr>
        <w:t>“</w:t>
      </w:r>
      <w:r>
        <w:rPr>
          <w:rFonts w:hint="eastAsia" w:ascii="仿宋_GB2312" w:hAnsi="华文楷体" w:eastAsia="仿宋_GB2312"/>
          <w:sz w:val="32"/>
          <w:szCs w:val="32"/>
          <w:highlight w:val="none"/>
        </w:rPr>
        <w:t>优先受理、优先尽责、优先审批</w:t>
      </w:r>
      <w:r>
        <w:rPr>
          <w:rFonts w:hint="eastAsia" w:ascii="仿宋_GB2312" w:hAnsi="华文楷体" w:eastAsia="仿宋_GB2312"/>
          <w:sz w:val="32"/>
          <w:szCs w:val="32"/>
          <w:highlight w:val="none"/>
          <w:lang w:eastAsia="zh-CN"/>
        </w:rPr>
        <w:t>”</w:t>
      </w:r>
      <w:r>
        <w:rPr>
          <w:rFonts w:hint="eastAsia" w:ascii="仿宋_GB2312" w:hAnsi="华文楷体" w:eastAsia="仿宋_GB2312"/>
          <w:sz w:val="32"/>
          <w:szCs w:val="32"/>
          <w:highlight w:val="none"/>
        </w:rPr>
        <w:t>方式审批项目。在发起阶段，推行平行作业，由尽责人员提前介入业务发起，主动做好项目对接，指导业务人员制定科学、合理的授信方案，积极推动审批进程，为企业开展外贸活动、恢复市场经营、助推复工复产提供审批支持；对于涉及抗疫医疗物资的进口采购需求，开辟单证服务绿色通道，加快业务处理效率。同时，优先处理涉及疫情汇款款项，确保时效性。</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楷体_GB2312" w:hAnsi="Calibri" w:eastAsia="楷体_GB2312" w:cs="Times New Roman"/>
          <w:b w:val="0"/>
          <w:bCs/>
          <w:sz w:val="32"/>
          <w:szCs w:val="32"/>
          <w:highlight w:val="none"/>
          <w:lang w:bidi="ar-SA"/>
        </w:rPr>
      </w:pPr>
      <w:r>
        <w:rPr>
          <w:rFonts w:hint="eastAsia" w:ascii="楷体_GB2312" w:hAnsi="Calibri" w:eastAsia="楷体_GB2312" w:cs="Times New Roman"/>
          <w:b w:val="0"/>
          <w:bCs/>
          <w:sz w:val="32"/>
          <w:szCs w:val="32"/>
          <w:highlight w:val="none"/>
          <w:lang w:bidi="ar-SA"/>
        </w:rPr>
        <w:t>（七）降低企业应急贷款成本</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对于疫情防控重点企业，在给予贷款优惠利率基础上，若贷款企业符合《财政部 发展改革委 工业和信息化部 人民银行 审计署关于打赢疫情防控狙击战强化疫情防控重点保障企业资金支持的紧急通知》（财金[2020]5号）条件，可按实际贷款利率的50%向财政部门申请贴息，贴息期限不超过1年。</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楷体_GB2312" w:hAnsi="Calibri" w:eastAsia="楷体_GB2312" w:cs="Times New Roman"/>
          <w:b w:val="0"/>
          <w:bCs/>
          <w:sz w:val="32"/>
          <w:szCs w:val="32"/>
          <w:highlight w:val="none"/>
          <w:lang w:bidi="ar-SA"/>
        </w:rPr>
      </w:pPr>
      <w:r>
        <w:rPr>
          <w:rFonts w:hint="eastAsia" w:ascii="楷体_GB2312" w:hAnsi="Calibri" w:eastAsia="楷体_GB2312" w:cs="Times New Roman"/>
          <w:b w:val="0"/>
          <w:bCs/>
          <w:sz w:val="32"/>
          <w:szCs w:val="32"/>
          <w:highlight w:val="none"/>
          <w:lang w:bidi="ar-SA"/>
        </w:rPr>
        <w:t>（八）纾解存量企业还贷困难</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提供针对性的优惠金融服务，对于有发展前景但暂时受困的外贸领域企业，不盲目停贷、压贷、抽贷、断贷，合理推动企业缓解债务压力，通过贷款展期、续贷、调整还款还本付息计划等方式，给予企业一定期限的临时性延期还本和付息安排，维持企业正常经营。</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bidi="ar-SA"/>
        </w:rPr>
      </w:pPr>
      <w:r>
        <w:rPr>
          <w:rFonts w:hint="eastAsia" w:ascii="黑体" w:hAnsi="宋体" w:eastAsia="黑体" w:cs="Times New Roman"/>
          <w:sz w:val="32"/>
          <w:szCs w:val="32"/>
          <w:highlight w:val="none"/>
          <w:lang w:bidi="ar-SA"/>
        </w:rPr>
        <w:t>三、其他支持</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（一）中国银行佛山分行及辖内机构为辖内企业提供绿色通道金融服务，一对一提供结算服务及信贷评估，定期向当地商务部门及时反馈服务信息。</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（二）相关企业可以向中国银行佛山分行辖内机构提出服务申请，中国银行佛山分行将在24小时内完成对接，切实做好服务。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（三）中国银行佛山分行辖内分支机构应主动对接当地商务主管部门及重点企业，提供专业金融服务方案，做好企业评估和上报工作。</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（四）中国银行佛山分行将根据企业实际需求，按照内部风险审批流程和市场化原则，对服务条件的信贷项目加快办理审批、放贷手续，加大对以上支持企业复工复产的信贷支持力度。</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华文楷体" w:eastAsia="仿宋_GB2312"/>
          <w:sz w:val="32"/>
          <w:szCs w:val="32"/>
          <w:highlight w:val="none"/>
        </w:rPr>
      </w:pPr>
      <w:r>
        <w:rPr>
          <w:rFonts w:hint="eastAsia" w:ascii="仿宋_GB2312" w:hAnsi="华文楷体" w:eastAsia="仿宋_GB2312"/>
          <w:sz w:val="32"/>
          <w:szCs w:val="32"/>
          <w:highlight w:val="none"/>
        </w:rPr>
        <w:t>（五）中国银行佛山分行及各级分行指定专人负责此项工作，中国银行具体联系人见后表。</w:t>
      </w:r>
    </w:p>
    <w:p>
      <w:pPr>
        <w:pStyle w:val="5"/>
        <w:rPr>
          <w:rFonts w:hint="eastAsia" w:ascii="仿宋_GB2312" w:hAnsi="华文楷体" w:eastAsia="仿宋_GB2312"/>
          <w:sz w:val="32"/>
          <w:szCs w:val="32"/>
          <w:highlight w:val="none"/>
        </w:rPr>
      </w:pPr>
    </w:p>
    <w:p>
      <w:pPr>
        <w:pStyle w:val="5"/>
        <w:rPr>
          <w:rFonts w:hint="eastAsia" w:ascii="仿宋_GB2312" w:hAnsi="华文楷体" w:eastAsia="仿宋_GB2312"/>
          <w:sz w:val="32"/>
          <w:szCs w:val="32"/>
          <w:highlight w:val="none"/>
        </w:rPr>
      </w:pPr>
    </w:p>
    <w:p>
      <w:pPr>
        <w:pStyle w:val="5"/>
        <w:rPr>
          <w:rFonts w:hint="eastAsia" w:ascii="仿宋_GB2312" w:hAnsi="华文楷体" w:eastAsia="仿宋_GB2312"/>
          <w:sz w:val="32"/>
          <w:szCs w:val="32"/>
          <w:highlight w:val="none"/>
        </w:rPr>
      </w:pPr>
    </w:p>
    <w:p>
      <w:pPr>
        <w:pStyle w:val="4"/>
        <w:keepNext w:val="0"/>
        <w:keepLines w:val="0"/>
        <w:pageBreakBefore w:val="0"/>
        <w:kinsoku/>
        <w:wordWrap/>
        <w:overflowPunct/>
        <w:topLinePunct w:val="0"/>
        <w:autoSpaceDE/>
        <w:autoSpaceDN/>
        <w:bidi w:val="0"/>
        <w:adjustRightInd/>
        <w:spacing w:line="360" w:lineRule="auto"/>
        <w:textAlignment w:val="auto"/>
        <w:rPr>
          <w:rFonts w:hint="default" w:ascii="仿宋_GB2312" w:hAnsi="宋体" w:eastAsia="仿宋_GB2312" w:cs="Times New Roman"/>
          <w:sz w:val="32"/>
          <w:szCs w:val="32"/>
          <w:highlight w:val="none"/>
          <w:lang w:val="en-US" w:eastAsia="zh-CN" w:bidi="ar-SA"/>
        </w:rPr>
      </w:pPr>
      <w:r>
        <w:rPr>
          <w:rFonts w:hint="eastAsia" w:ascii="黑体" w:hAnsi="黑体" w:eastAsia="黑体" w:cs="黑体"/>
          <w:sz w:val="32"/>
          <w:szCs w:val="28"/>
          <w:highlight w:val="none"/>
          <w:lang w:val="en-US" w:eastAsia="zh-CN"/>
        </w:rPr>
        <w:t>附表</w:t>
      </w:r>
    </w:p>
    <w:p>
      <w:pPr>
        <w:pStyle w:val="6"/>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Times New Roman"/>
          <w:sz w:val="44"/>
          <w:szCs w:val="32"/>
          <w:highlight w:val="none"/>
          <w:lang w:bidi="ar-SA"/>
        </w:rPr>
      </w:pPr>
      <w:r>
        <w:rPr>
          <w:rFonts w:hint="eastAsia" w:ascii="方正小标宋简体" w:hAnsi="方正小标宋简体" w:eastAsia="方正小标宋简体" w:cs="Times New Roman"/>
          <w:sz w:val="44"/>
          <w:szCs w:val="32"/>
          <w:highlight w:val="none"/>
          <w:lang w:bidi="ar-SA"/>
        </w:rPr>
        <w:t>中国银行佛山分行主要对接人名单</w:t>
      </w:r>
    </w:p>
    <w:p>
      <w:pPr>
        <w:pStyle w:val="6"/>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Times New Roman"/>
          <w:sz w:val="44"/>
          <w:szCs w:val="32"/>
          <w:highlight w:val="none"/>
          <w:lang w:bidi="ar-SA"/>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2270"/>
        <w:gridCol w:w="2270"/>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序号</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部门/支行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主要对接人</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交易银行部</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姚瑶</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0757-82683204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2</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公司金融部</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周子勇</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0757-82683418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3</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普惠事业部</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冯健海</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0757-82683497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4</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分行营业部</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陈健明</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0757-82683431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5</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南海支行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李业昌</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0757-86285243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6</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三水支行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蔡伟根</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0757-87726128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7</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高明支行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温淑清</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0757-88983686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8</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南庄支行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洪惠明</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0757-85312565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9</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大沥支行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何仲佳</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0757-85573308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10</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黄岐支行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黄锶明</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0757-85918628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11</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西樵支行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李鹏鹏</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0757-86856111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12</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石湾支行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刘泳文</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0757-82029036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汾江支行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邹锦巍</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0757-82029298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14</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狮山支行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丘伟洪</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0757-81030091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15</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里水支行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万俭光</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0757-85689337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16</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张槎支行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陈敏思</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0757-82029998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17</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丹灶支行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何子南</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0757-85412493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112"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18</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九江支行</w:t>
            </w:r>
          </w:p>
        </w:tc>
        <w:tc>
          <w:tcPr>
            <w:tcW w:w="2270"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梁少斌</w:t>
            </w:r>
          </w:p>
        </w:tc>
        <w:tc>
          <w:tcPr>
            <w:tcW w:w="3408" w:type="dxa"/>
            <w:noWrap w:val="0"/>
            <w:vAlign w:val="top"/>
          </w:tcPr>
          <w:p>
            <w:pPr>
              <w:pStyle w:val="6"/>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0757-81762715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A52E8"/>
    <w:rsid w:val="4C6A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w:next w:val="5"/>
    <w:uiPriority w:val="0"/>
    <w:pPr>
      <w:widowControl w:val="0"/>
      <w:jc w:val="both"/>
    </w:pPr>
    <w:rPr>
      <w:rFonts w:ascii="Calibri" w:hAnsi="Calibri" w:eastAsia="宋体" w:cs="Times New Roman"/>
      <w:kern w:val="2"/>
      <w:sz w:val="21"/>
      <w:lang w:val="en-US" w:eastAsia="zh-CN"/>
    </w:rPr>
  </w:style>
  <w:style w:type="paragraph" w:customStyle="1" w:styleId="5">
    <w:name w:val="Defaul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6">
    <w:name w:val="正文 New New New New New New New New"/>
    <w:uiPriority w:val="0"/>
    <w:pPr>
      <w:widowControl w:val="0"/>
      <w:jc w:val="both"/>
    </w:pPr>
    <w:rPr>
      <w:rFonts w:ascii="Times New Roman" w:hAnsi="Times New Roman" w:eastAsia="宋体" w:cs="Times New Roman"/>
      <w:kern w:val="2"/>
      <w:sz w:val="21"/>
      <w:szCs w:val="20"/>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2020-06-10T09:22:00Z</dcterms:created>
  <dc:creator>liuyi</dc:creator>
  <cp:lastModifiedBy>liuyi</cp:lastModifiedBy>
  <dcterms:modified xsi:type="dcterms:W3CDTF">2020-06-10T09:26:18Z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