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/>
          <w:sz w:val="44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36"/>
          <w:highlight w:val="none"/>
          <w:lang w:eastAsia="zh-CN"/>
        </w:rPr>
        <w:t>进出口银行广东省分行</w:t>
      </w:r>
    </w:p>
    <w:p>
      <w:pPr>
        <w:pStyle w:val="4"/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/>
          <w:sz w:val="44"/>
          <w:szCs w:val="36"/>
          <w:highlight w:val="none"/>
        </w:rPr>
      </w:pPr>
      <w:r>
        <w:rPr>
          <w:rFonts w:hint="eastAsia" w:ascii="方正小标宋简体" w:hAnsi="方正小标宋简体" w:eastAsia="方正小标宋简体"/>
          <w:sz w:val="44"/>
          <w:szCs w:val="36"/>
          <w:highlight w:val="none"/>
          <w:lang w:eastAsia="zh-CN"/>
        </w:rPr>
        <w:t>支持</w:t>
      </w:r>
      <w:r>
        <w:rPr>
          <w:rFonts w:hint="eastAsia" w:ascii="方正小标宋简体" w:hAnsi="方正小标宋简体" w:eastAsia="方正小标宋简体"/>
          <w:sz w:val="44"/>
          <w:szCs w:val="36"/>
          <w:highlight w:val="none"/>
          <w:lang w:val="en-US" w:eastAsia="zh-CN"/>
        </w:rPr>
        <w:t>外贸企业</w:t>
      </w:r>
      <w:r>
        <w:rPr>
          <w:rFonts w:hint="eastAsia" w:ascii="方正小标宋简体" w:hAnsi="方正小标宋简体" w:eastAsia="方正小标宋简体"/>
          <w:sz w:val="44"/>
          <w:szCs w:val="36"/>
          <w:highlight w:val="none"/>
        </w:rPr>
        <w:t>综合金融服务方案</w:t>
      </w:r>
    </w:p>
    <w:bookmarkEnd w:id="0"/>
    <w:p>
      <w:pPr>
        <w:pStyle w:val="4"/>
        <w:spacing w:line="560" w:lineRule="exact"/>
        <w:ind w:firstLine="640" w:firstLineChars="200"/>
        <w:jc w:val="both"/>
        <w:rPr>
          <w:rFonts w:hint="eastAsia" w:ascii="仿宋_GB2312" w:hAnsi="仿宋_GB2312" w:eastAsia="仿宋_GB2312"/>
          <w:sz w:val="32"/>
          <w:szCs w:val="36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中国进出口银行（以下简称“口行”）是由国家出资设立、直属国务院领导、支持中国对外经济贸易投资发展与国际经济合作、重点产业发展、具有独立法人地位的国有政策性银行。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新冠肺炎疫情发生以来，我国经济发展面临严峻形势，外贸产业和制造业受到巨大冲击。为更好发挥政策性金融逆周期调节作用，口行加大外贸产业和制造业的支持力度，多措并举支持稳外贸、稳外资、保市场主体、保产业链供应链稳定，进一步扩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信贷投放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，切实为企业提供优惠的政策性金融服务。</w:t>
      </w:r>
    </w:p>
    <w:p>
      <w:pPr>
        <w:pStyle w:val="4"/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重点服务领域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外贸产业及其产业链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对于外贸企业直接开展的</w:t>
      </w:r>
      <w:r>
        <w:rPr>
          <w:rFonts w:hint="eastAsia" w:ascii="仿宋_GB2312" w:eastAsia="仿宋_GB2312"/>
          <w:sz w:val="32"/>
          <w:szCs w:val="32"/>
          <w:highlight w:val="none"/>
        </w:rPr>
        <w:t>货物进出口和服务进出口贸易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，以及外贸产业链、外贸新业态（包括电子商务、外贸综合服务体等）开展的进出口贸易配套服务，提供进出口贷款和相关贸易融资产品支持，满足企业运营的资金需求。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制造业及其供应链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针对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制造业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及相关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供应链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配套产业，我行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深化金融服务链条，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的日常运营和项目投资提供信贷支持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帮助客户解决资金难题，支持企业复工复产。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重大项目建设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我行积极支持基础设施补短板、民生建设等领域项目。对涉及粤港澳大湾区互联互通基础设施、能源供应、先进制造业项目、以及省市级复工复产重点民生项目提供信贷支持，利用政策性资金优势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val="en-US" w:eastAsia="zh-CN"/>
        </w:rPr>
        <w:t>，助力企业降低财务成本。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中小微企业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目前，针对中小微供应链企业和外贸企业，我行分别与供应链融资平台及核心企业、外贸综合服务平台及中信保合作，推出“保理E贷”和“贸赢贷”产品，相关中小微企业可线上办理相关业务，高效、便捷地享受优惠利率信贷服务。</w:t>
      </w:r>
    </w:p>
    <w:p>
      <w:pPr>
        <w:pStyle w:val="4"/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服务支持对象</w:t>
      </w:r>
    </w:p>
    <w:p>
      <w:pPr>
        <w:pStyle w:val="4"/>
        <w:numPr>
          <w:ilvl w:val="0"/>
          <w:numId w:val="0"/>
        </w:numPr>
        <w:spacing w:line="240" w:lineRule="auto"/>
        <w:ind w:firstLine="640" w:firstLineChars="200"/>
        <w:outlineLvl w:val="9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对于在我国工商行政管理部门登记注册、具有独立法人资格，且资信状况良好的境内企业，我行制定了全方位金融服务，积极满足企业的各类资金需求。</w:t>
      </w:r>
    </w:p>
    <w:p>
      <w:pPr>
        <w:pStyle w:val="4"/>
        <w:numPr>
          <w:ilvl w:val="0"/>
          <w:numId w:val="0"/>
        </w:numPr>
        <w:spacing w:line="240" w:lineRule="auto"/>
        <w:ind w:firstLine="640" w:firstLineChars="200"/>
        <w:outlineLvl w:val="9"/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eastAsia="zh-CN"/>
        </w:rPr>
        <w:t>我行立足政策性金融定位，重点服务于具有一定生产和贸易规模、经营管理和财务资信状况良好的企业，聚焦支持受经济下行和疫情影响而受困的外贸产业、制造业及其配套产业，为相关企业和项目提供具有市场竞争力的优惠信贷，具体方案根据企业的信用评级、项目评估、风控措施等因素综合评定。</w:t>
      </w:r>
    </w:p>
    <w:p>
      <w:pPr>
        <w:pStyle w:val="4"/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专项优惠政策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我行认真履行政策性金融职能，以专项政策及优惠利率积极支持企业参与疫情防控、复工复产。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优惠信贷资金与利率支持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疫情发生以来，我行利用政策性金融优势募集低成本资金进行信贷投放，为客户提供优惠的贷款利率，切实降低企业财务成本。目前，我行计划扩大外贸领域信贷投放，实现全年新增4000亿元外贸产业贷款，并安排500亿元资金专项纾困制造业和进出口企业，以及1600亿元信贷规模专项支持中小微企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设立金融服务“绿色通道”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对外贸外资、战略性新兴产业、传统基础设施建设和“新基建”、外贸企业和制造业企业纾困等重点领域，我行针对开户、信贷审批和放款等环节，设立审批绿色通道，提高服务企业的工作效率。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银政保合作提供外贸保障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疫情以来，我分行积极与广东省商务厅、广州市政府沟通协作，牵头负责广东省扩大进出口政策性信贷工作，安排专项资金用于企业疫情防控和复工复产。同时分行积极与中信保广东分公司对接，共同梳理确定外贸客户“白名单”，探索短期险项下融资业务的合作，为企业的进出口贸易提供保险保障和融资支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推动小微企业服务“增量扩面、提质降本”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针对小微企业，一方面我行加大小微企业直贷业务支持，与综服平台及供应链链核心企业合作，利用互联网技术及系统优势，为相关小微企业提供高效快捷的优惠信贷；另一方面，我行持续推进与商业银行合作，以较低利率向商业银行发放贷款，再由其转贷给小微企业，扩大支持地方小微企业信贷规模和覆盖面，降低小微企业融资成本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jc w:val="right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中国进出口银行广东省分行联系人：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李  杰 020-89332657；13352806027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highlight w:val="none"/>
          <w:lang w:val="en-US" w:eastAsia="zh-CN"/>
        </w:rPr>
        <w:t>郑剑雨 020-89332640；13922282421</w:t>
      </w:r>
    </w:p>
    <w:p>
      <w:pPr>
        <w:pStyle w:val="4"/>
        <w:numPr>
          <w:ilvl w:val="0"/>
          <w:numId w:val="0"/>
        </w:numPr>
        <w:ind w:firstLine="0" w:firstLineChars="0"/>
        <w:jc w:val="right"/>
        <w:outlineLvl w:val="9"/>
        <w:rPr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</w:pPr>
    </w:p>
    <w:p>
      <w:pPr>
        <w:pStyle w:val="5"/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</w:pPr>
    </w:p>
    <w:p>
      <w:pPr>
        <w:pStyle w:val="5"/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</w:pPr>
    </w:p>
    <w:p>
      <w:pPr>
        <w:pStyle w:val="5"/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C"/>
    <w:multiLevelType w:val="singleLevel"/>
    <w:tmpl w:val="000000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67E7C"/>
    <w:rsid w:val="30A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next w:val="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2020-06-05T10:34:00Z</dcterms:created>
  <dc:creator>liuyi</dc:creator>
  <cp:lastModifiedBy>liuyi</cp:lastModifiedBy>
  <dcterms:modified xsi:type="dcterms:W3CDTF">2020-06-05T10:38:37Z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