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660" w:lineRule="exact"/>
        <w:jc w:val="center"/>
        <w:rPr>
          <w:rFonts w:hint="eastAsia" w:ascii="方正小标宋简体" w:hAnsi="宋体" w:eastAsia="方正小标宋简体" w:cs="Times New Roman"/>
          <w:sz w:val="44"/>
          <w:szCs w:val="44"/>
          <w:highlight w:val="none"/>
          <w:lang w:val="en-US" w:eastAsia="zh-CN" w:bidi="ar-SA"/>
        </w:rPr>
      </w:pPr>
      <w:bookmarkStart w:id="0" w:name="_GoBack"/>
      <w:r>
        <w:rPr>
          <w:rFonts w:hint="eastAsia" w:ascii="方正小标宋简体" w:hAnsi="宋体" w:eastAsia="方正小标宋简体" w:cs="Times New Roman"/>
          <w:sz w:val="44"/>
          <w:szCs w:val="44"/>
          <w:highlight w:val="none"/>
          <w:lang w:val="en-US" w:eastAsia="zh-CN" w:bidi="ar-SA"/>
        </w:rPr>
        <w:t xml:space="preserve">建设银行佛山分行支持外贸企业发展服务方案 </w:t>
      </w:r>
      <w:bookmarkEnd w:id="0"/>
      <w:r>
        <w:rPr>
          <w:rFonts w:hint="eastAsia" w:ascii="方正小标宋简体" w:hAnsi="宋体" w:eastAsia="方正小标宋简体" w:cs="Times New Roman"/>
          <w:sz w:val="44"/>
          <w:szCs w:val="44"/>
          <w:highlight w:val="none"/>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仿宋_GB2312" w:hAnsi="宋体" w:eastAsia="仿宋_GB2312" w:cs="Times New Roman"/>
          <w:sz w:val="32"/>
          <w:szCs w:val="32"/>
          <w:highlight w:val="none"/>
          <w:lang w:bidi="ar-SA"/>
        </w:rPr>
        <w:t>为了支持稳外贸工作，</w:t>
      </w:r>
      <w:r>
        <w:rPr>
          <w:rFonts w:hint="eastAsia" w:ascii="仿宋_GB2312" w:hAnsi="宋体" w:eastAsia="仿宋_GB2312" w:cs="Times New Roman"/>
          <w:sz w:val="32"/>
          <w:szCs w:val="32"/>
          <w:highlight w:val="none"/>
          <w:lang w:val="en-US" w:eastAsia="zh-CN" w:bidi="ar-SA"/>
        </w:rPr>
        <w:t>建设银行佛山分行</w:t>
      </w:r>
      <w:r>
        <w:rPr>
          <w:rFonts w:hint="eastAsia" w:ascii="仿宋_GB2312" w:hAnsi="宋体" w:eastAsia="仿宋_GB2312" w:cs="Times New Roman"/>
          <w:sz w:val="32"/>
          <w:szCs w:val="32"/>
          <w:highlight w:val="none"/>
          <w:lang w:bidi="ar-SA"/>
        </w:rPr>
        <w:t>启动多项产品服务供</w:t>
      </w:r>
      <w:r>
        <w:rPr>
          <w:rFonts w:hint="eastAsia" w:ascii="仿宋_GB2312" w:hAnsi="宋体" w:eastAsia="仿宋_GB2312" w:cs="Times New Roman"/>
          <w:sz w:val="32"/>
          <w:szCs w:val="32"/>
          <w:highlight w:val="none"/>
          <w:lang w:val="en-US" w:eastAsia="zh-CN" w:bidi="ar-SA"/>
        </w:rPr>
        <w:t>外贸企业</w:t>
      </w:r>
      <w:r>
        <w:rPr>
          <w:rFonts w:hint="eastAsia" w:ascii="仿宋_GB2312" w:hAnsi="宋体" w:eastAsia="仿宋_GB2312" w:cs="Times New Roman"/>
          <w:sz w:val="32"/>
          <w:szCs w:val="32"/>
          <w:highlight w:val="none"/>
          <w:lang w:bidi="ar-SA"/>
        </w:rPr>
        <w:t>参考：</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eastAsia="zh-CN" w:bidi="ar-SA"/>
        </w:rPr>
      </w:pPr>
      <w:r>
        <w:rPr>
          <w:rFonts w:hint="eastAsia" w:ascii="黑体" w:hAnsi="宋体" w:eastAsia="黑体" w:cs="Times New Roman"/>
          <w:sz w:val="32"/>
          <w:szCs w:val="32"/>
          <w:highlight w:val="none"/>
          <w:lang w:val="en-US" w:eastAsia="zh-CN" w:bidi="ar-SA"/>
        </w:rPr>
        <w:t>一、</w:t>
      </w:r>
      <w:r>
        <w:rPr>
          <w:rFonts w:hint="eastAsia" w:ascii="黑体" w:hAnsi="宋体" w:eastAsia="黑体" w:cs="Times New Roman"/>
          <w:sz w:val="32"/>
          <w:szCs w:val="32"/>
          <w:highlight w:val="none"/>
          <w:lang w:bidi="ar-SA"/>
        </w:rPr>
        <w:t>外汇政策支持</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仿宋_GB2312" w:hAnsi="宋体" w:eastAsia="仿宋_GB2312" w:cs="Times New Roman"/>
          <w:sz w:val="32"/>
          <w:szCs w:val="32"/>
          <w:highlight w:val="none"/>
          <w:lang w:eastAsia="zh-CN" w:bidi="ar-SA"/>
        </w:rPr>
        <w:t>（</w:t>
      </w:r>
      <w:r>
        <w:rPr>
          <w:rFonts w:hint="eastAsia" w:ascii="仿宋_GB2312" w:hAnsi="宋体" w:eastAsia="仿宋_GB2312" w:cs="Times New Roman"/>
          <w:sz w:val="32"/>
          <w:szCs w:val="32"/>
          <w:highlight w:val="none"/>
          <w:lang w:val="en-US" w:eastAsia="zh-CN" w:bidi="ar-SA"/>
        </w:rPr>
        <w:t>一</w:t>
      </w:r>
      <w:r>
        <w:rPr>
          <w:rFonts w:hint="eastAsia" w:ascii="仿宋_GB2312" w:hAnsi="宋体" w:eastAsia="仿宋_GB2312" w:cs="Times New Roman"/>
          <w:sz w:val="32"/>
          <w:szCs w:val="32"/>
          <w:highlight w:val="none"/>
          <w:lang w:eastAsia="zh-CN" w:bidi="ar-SA"/>
        </w:rPr>
        <w:t>）</w:t>
      </w:r>
      <w:r>
        <w:rPr>
          <w:rFonts w:hint="eastAsia" w:ascii="仿宋_GB2312" w:hAnsi="宋体" w:eastAsia="仿宋_GB2312" w:cs="Times New Roman"/>
          <w:sz w:val="32"/>
          <w:szCs w:val="32"/>
          <w:highlight w:val="none"/>
          <w:lang w:bidi="ar-SA"/>
        </w:rPr>
        <w:t>对于受理与疫情防控有关的物资进口、境外捐赠汇款以及资本项下等业务，建立外汇政策以及收付款绿色通道，明确对来自境内外且涉及此次疫情的外汇捐赠资金，无需开立捐赠账户，直接办理入账和结汇手续。</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仿宋_GB2312" w:hAnsi="宋体" w:eastAsia="仿宋_GB2312" w:cs="Times New Roman"/>
          <w:sz w:val="32"/>
          <w:szCs w:val="32"/>
          <w:highlight w:val="none"/>
          <w:lang w:eastAsia="zh-CN" w:bidi="ar-SA"/>
        </w:rPr>
        <w:t>（</w:t>
      </w:r>
      <w:r>
        <w:rPr>
          <w:rFonts w:hint="eastAsia" w:ascii="仿宋_GB2312" w:hAnsi="宋体" w:eastAsia="仿宋_GB2312" w:cs="Times New Roman"/>
          <w:sz w:val="32"/>
          <w:szCs w:val="32"/>
          <w:highlight w:val="none"/>
          <w:lang w:val="en-US" w:eastAsia="zh-CN" w:bidi="ar-SA"/>
        </w:rPr>
        <w:t>二</w:t>
      </w:r>
      <w:r>
        <w:rPr>
          <w:rFonts w:hint="eastAsia" w:ascii="仿宋_GB2312" w:hAnsi="宋体" w:eastAsia="仿宋_GB2312" w:cs="Times New Roman"/>
          <w:sz w:val="32"/>
          <w:szCs w:val="32"/>
          <w:highlight w:val="none"/>
          <w:lang w:eastAsia="zh-CN" w:bidi="ar-SA"/>
        </w:rPr>
        <w:t>）</w:t>
      </w:r>
      <w:r>
        <w:rPr>
          <w:rFonts w:hint="eastAsia" w:ascii="仿宋_GB2312" w:hAnsi="宋体" w:eastAsia="仿宋_GB2312" w:cs="Times New Roman"/>
          <w:sz w:val="32"/>
          <w:szCs w:val="32"/>
          <w:highlight w:val="none"/>
          <w:lang w:bidi="ar-SA"/>
        </w:rPr>
        <w:t>疫情期间，与疫情防控有关的物资进口、境外捐赠项下汇款以及资本项目收入结汇支付建立绿色通道，可凭客户的说明直接办理，无需事前、逐笔提交单证材料，简化流程、快速处理、随申随办，且一律免收汇款手续费。与疫情防控有关的跨境付款、跨境捐赠及资本项下业务，可给予汇款手续费全免的优惠。</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val="en-US" w:eastAsia="zh-CN" w:bidi="ar-SA"/>
        </w:rPr>
      </w:pPr>
      <w:r>
        <w:rPr>
          <w:rFonts w:hint="eastAsia" w:ascii="黑体" w:hAnsi="宋体" w:eastAsia="黑体" w:cs="Times New Roman"/>
          <w:sz w:val="32"/>
          <w:szCs w:val="32"/>
          <w:highlight w:val="none"/>
          <w:lang w:val="en-US" w:eastAsia="zh-CN" w:bidi="ar-SA"/>
        </w:rPr>
        <w:t>二、跨境快贷</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sz w:val="32"/>
          <w:szCs w:val="32"/>
          <w:highlight w:val="none"/>
          <w:lang w:eastAsia="zh-CN" w:bidi="ar-SA"/>
        </w:rPr>
        <w:t>建设银行普惠金融战略为小微外贸企业提供优质跨境金融服务作为“破题”目标，先后开发了“跨境快贷-退税贷”，“跨境快贷-出口贷”，“跨境快贷-信保贷”等线上金融产品。</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sz w:val="32"/>
          <w:szCs w:val="32"/>
          <w:highlight w:val="none"/>
          <w:lang w:eastAsia="zh-CN" w:bidi="ar-SA"/>
        </w:rPr>
        <w:t>产品创新点：</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3" w:firstLineChars="200"/>
        <w:textAlignment w:val="auto"/>
        <w:outlineLvl w:val="9"/>
        <w:rPr>
          <w:rFonts w:hint="eastAsia" w:ascii="仿宋_GB2312" w:hAnsi="宋体" w:eastAsia="仿宋_GB2312" w:cs="Times New Roman"/>
          <w:b w:val="0"/>
          <w:bCs w:val="0"/>
          <w:sz w:val="32"/>
          <w:szCs w:val="32"/>
          <w:highlight w:val="none"/>
          <w:lang w:eastAsia="zh-CN" w:bidi="ar-SA"/>
        </w:rPr>
      </w:pPr>
      <w:r>
        <w:rPr>
          <w:rFonts w:hint="eastAsia" w:ascii="仿宋_GB2312" w:hAnsi="宋体" w:eastAsia="仿宋_GB2312" w:cs="Times New Roman"/>
          <w:b/>
          <w:bCs/>
          <w:sz w:val="32"/>
          <w:szCs w:val="32"/>
          <w:highlight w:val="none"/>
          <w:lang w:eastAsia="zh-CN" w:bidi="ar-SA"/>
        </w:rPr>
        <w:t>1</w:t>
      </w:r>
      <w:r>
        <w:rPr>
          <w:rFonts w:hint="eastAsia" w:ascii="仿宋_GB2312" w:hAnsi="宋体" w:eastAsia="仿宋_GB2312" w:cs="Times New Roman"/>
          <w:b/>
          <w:bCs/>
          <w:sz w:val="32"/>
          <w:szCs w:val="32"/>
          <w:highlight w:val="none"/>
          <w:lang w:val="en-US" w:eastAsia="zh-CN" w:bidi="ar-SA"/>
        </w:rPr>
        <w:t>.</w:t>
      </w:r>
      <w:r>
        <w:rPr>
          <w:rFonts w:hint="eastAsia" w:ascii="仿宋_GB2312" w:hAnsi="宋体" w:eastAsia="仿宋_GB2312" w:cs="Times New Roman"/>
          <w:b/>
          <w:bCs/>
          <w:sz w:val="32"/>
          <w:szCs w:val="32"/>
          <w:highlight w:val="none"/>
          <w:lang w:eastAsia="zh-CN" w:bidi="ar-SA"/>
        </w:rPr>
        <w:t>大数据计算额度。</w:t>
      </w:r>
      <w:r>
        <w:rPr>
          <w:rFonts w:hint="eastAsia" w:ascii="仿宋_GB2312" w:hAnsi="宋体" w:eastAsia="仿宋_GB2312" w:cs="Times New Roman"/>
          <w:sz w:val="32"/>
          <w:szCs w:val="32"/>
          <w:highlight w:val="none"/>
          <w:lang w:eastAsia="zh-CN" w:bidi="ar-SA"/>
        </w:rPr>
        <w:t>利用内外部数据分析企业及企业主的资信状况，在系统上为企业核定信用额度。企业通过网银系统自主查询</w:t>
      </w:r>
      <w:r>
        <w:rPr>
          <w:rFonts w:hint="eastAsia" w:ascii="仿宋_GB2312" w:hAnsi="宋体" w:eastAsia="仿宋_GB2312" w:cs="Times New Roman"/>
          <w:b w:val="0"/>
          <w:bCs w:val="0"/>
          <w:sz w:val="32"/>
          <w:szCs w:val="32"/>
          <w:highlight w:val="none"/>
          <w:lang w:eastAsia="zh-CN" w:bidi="ar-SA"/>
        </w:rPr>
        <w:t>。</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3" w:firstLineChars="200"/>
        <w:textAlignment w:val="auto"/>
        <w:outlineLvl w:val="9"/>
        <w:rPr>
          <w:rFonts w:hint="default" w:ascii="仿宋_GB2312" w:hAnsi="宋体" w:eastAsia="仿宋_GB2312" w:cs="Times New Roman"/>
          <w:sz w:val="32"/>
          <w:szCs w:val="32"/>
          <w:highlight w:val="none"/>
          <w:lang w:val="en-US" w:eastAsia="zh-CN" w:bidi="ar-SA"/>
        </w:rPr>
      </w:pPr>
      <w:r>
        <w:rPr>
          <w:rFonts w:hint="eastAsia" w:ascii="仿宋_GB2312" w:hAnsi="宋体" w:eastAsia="仿宋_GB2312" w:cs="Times New Roman"/>
          <w:b/>
          <w:bCs/>
          <w:sz w:val="32"/>
          <w:szCs w:val="32"/>
          <w:highlight w:val="none"/>
          <w:lang w:eastAsia="zh-CN" w:bidi="ar-SA"/>
        </w:rPr>
        <w:t>2</w:t>
      </w:r>
      <w:r>
        <w:rPr>
          <w:rFonts w:hint="eastAsia" w:ascii="仿宋_GB2312" w:hAnsi="宋体" w:eastAsia="仿宋_GB2312" w:cs="Times New Roman"/>
          <w:b/>
          <w:bCs/>
          <w:sz w:val="32"/>
          <w:szCs w:val="32"/>
          <w:highlight w:val="none"/>
          <w:lang w:val="en-US" w:eastAsia="zh-CN" w:bidi="ar-SA"/>
        </w:rPr>
        <w:t>.</w:t>
      </w:r>
      <w:r>
        <w:rPr>
          <w:rFonts w:hint="eastAsia" w:ascii="仿宋_GB2312" w:hAnsi="宋体" w:eastAsia="仿宋_GB2312" w:cs="Times New Roman"/>
          <w:b/>
          <w:bCs/>
          <w:sz w:val="32"/>
          <w:szCs w:val="32"/>
          <w:highlight w:val="none"/>
          <w:lang w:eastAsia="zh-CN" w:bidi="ar-SA"/>
        </w:rPr>
        <w:t>全线上。</w:t>
      </w:r>
      <w:r>
        <w:rPr>
          <w:rFonts w:hint="eastAsia" w:ascii="仿宋_GB2312" w:hAnsi="宋体" w:eastAsia="仿宋_GB2312" w:cs="Times New Roman"/>
          <w:sz w:val="32"/>
          <w:szCs w:val="32"/>
          <w:highlight w:val="none"/>
          <w:lang w:eastAsia="zh-CN" w:bidi="ar-SA"/>
        </w:rPr>
        <w:t>客户申请、合同签订、业务评价、融资审批、融资发放、贷后管理等均在网银上完成。企业无需提交纸质材料。</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3"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b/>
          <w:bCs/>
          <w:sz w:val="32"/>
          <w:szCs w:val="32"/>
          <w:highlight w:val="none"/>
          <w:lang w:eastAsia="zh-CN" w:bidi="ar-SA"/>
        </w:rPr>
        <w:t>3</w:t>
      </w:r>
      <w:r>
        <w:rPr>
          <w:rFonts w:hint="eastAsia" w:ascii="仿宋_GB2312" w:hAnsi="宋体" w:eastAsia="仿宋_GB2312" w:cs="Times New Roman"/>
          <w:b/>
          <w:bCs/>
          <w:sz w:val="32"/>
          <w:szCs w:val="32"/>
          <w:highlight w:val="none"/>
          <w:lang w:val="en-US" w:eastAsia="zh-CN" w:bidi="ar-SA"/>
        </w:rPr>
        <w:t>.</w:t>
      </w:r>
      <w:r>
        <w:rPr>
          <w:rFonts w:hint="eastAsia" w:ascii="仿宋_GB2312" w:hAnsi="宋体" w:eastAsia="仿宋_GB2312" w:cs="Times New Roman"/>
          <w:b/>
          <w:bCs/>
          <w:sz w:val="32"/>
          <w:szCs w:val="32"/>
          <w:highlight w:val="none"/>
          <w:lang w:eastAsia="zh-CN" w:bidi="ar-SA"/>
        </w:rPr>
        <w:t>纯信用。</w:t>
      </w:r>
      <w:r>
        <w:rPr>
          <w:rFonts w:hint="eastAsia" w:ascii="仿宋_GB2312" w:hAnsi="宋体" w:eastAsia="仿宋_GB2312" w:cs="Times New Roman"/>
          <w:sz w:val="32"/>
          <w:szCs w:val="32"/>
          <w:highlight w:val="none"/>
          <w:lang w:eastAsia="zh-CN" w:bidi="ar-SA"/>
        </w:rPr>
        <w:t>小微出口企业及实际控制人无需提供抵押与质押品。</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3"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b/>
          <w:bCs/>
          <w:sz w:val="32"/>
          <w:szCs w:val="32"/>
          <w:highlight w:val="none"/>
          <w:lang w:eastAsia="zh-CN" w:bidi="ar-SA"/>
        </w:rPr>
        <w:t>4</w:t>
      </w:r>
      <w:r>
        <w:rPr>
          <w:rFonts w:hint="eastAsia" w:ascii="仿宋_GB2312" w:hAnsi="宋体" w:eastAsia="仿宋_GB2312" w:cs="Times New Roman"/>
          <w:b/>
          <w:bCs/>
          <w:sz w:val="32"/>
          <w:szCs w:val="32"/>
          <w:highlight w:val="none"/>
          <w:lang w:val="en-US" w:eastAsia="zh-CN" w:bidi="ar-SA"/>
        </w:rPr>
        <w:t>.</w:t>
      </w:r>
      <w:r>
        <w:rPr>
          <w:rFonts w:hint="eastAsia" w:ascii="仿宋_GB2312" w:hAnsi="宋体" w:eastAsia="仿宋_GB2312" w:cs="Times New Roman"/>
          <w:b/>
          <w:bCs/>
          <w:sz w:val="32"/>
          <w:szCs w:val="32"/>
          <w:highlight w:val="none"/>
          <w:lang w:eastAsia="zh-CN" w:bidi="ar-SA"/>
        </w:rPr>
        <w:t>随用随支可循环。</w:t>
      </w:r>
      <w:r>
        <w:rPr>
          <w:rFonts w:hint="eastAsia" w:ascii="仿宋_GB2312" w:hAnsi="宋体" w:eastAsia="仿宋_GB2312" w:cs="Times New Roman"/>
          <w:sz w:val="32"/>
          <w:szCs w:val="32"/>
          <w:highlight w:val="none"/>
          <w:lang w:eastAsia="zh-CN" w:bidi="ar-SA"/>
        </w:rPr>
        <w:t>额度为可随时无条件撤销额度。额度为可循环额度，在有效期内可随时申请支用。跨境快贷系列产品适应客户群体广泛，申请操作便利简单，解决中小微进出口企业融资难的困境。</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sz w:val="32"/>
          <w:szCs w:val="32"/>
          <w:highlight w:val="none"/>
          <w:lang w:eastAsia="zh-CN" w:bidi="ar-SA"/>
        </w:rPr>
        <w:t>“跨境快贷”系列产品实行利率优惠，2月5日起，跨境快贷新签订的借款合同，贷款利率下调50个BP（调整后由原5.0025%下调为4.5025%）。</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sz w:val="32"/>
          <w:szCs w:val="32"/>
          <w:highlight w:val="none"/>
          <w:lang w:eastAsia="zh-CN" w:bidi="ar-SA"/>
        </w:rPr>
        <w:t>“跨境快贷”产品宽限期申请系统功能于2月14日上线。功能上线后，客户可线上发起申请，针对参加疫情防控工作的医药、运输、制造等行业的小微企业，以及受疫情影响未能及时收款导致经营出现困难的小微企业，可在额度有效期内申请宽限期，初定每次不超过30天（含）。</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val="en-US" w:eastAsia="zh-CN" w:bidi="ar-SA"/>
        </w:rPr>
      </w:pPr>
      <w:r>
        <w:rPr>
          <w:rFonts w:hint="eastAsia" w:ascii="黑体" w:hAnsi="宋体" w:eastAsia="黑体" w:cs="Times New Roman"/>
          <w:sz w:val="32"/>
          <w:szCs w:val="32"/>
          <w:highlight w:val="none"/>
          <w:lang w:val="en-US" w:eastAsia="zh-CN" w:bidi="ar-SA"/>
        </w:rPr>
        <w:t>三、贸融易</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sz w:val="32"/>
          <w:szCs w:val="32"/>
          <w:highlight w:val="none"/>
          <w:lang w:eastAsia="zh-CN" w:bidi="ar-SA"/>
        </w:rPr>
        <w:t>贸融易是广东省商务厅、中国出口信用保险公司广东分公司和中国建设银行广东省分行三方合作，携手向广东中小外贸企业推出灵活便捷、利率优惠的普惠金融服务。向广东省中小微企业提供一条门槛、成本双低、操作简便的保单融资服务，切实缓解中小外贸企业收汇风险加大、市场开拓乏力以及融资困难等问题。</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val="en-US" w:eastAsia="zh-CN" w:bidi="ar-SA"/>
        </w:rPr>
      </w:pPr>
      <w:r>
        <w:rPr>
          <w:rFonts w:hint="eastAsia" w:ascii="黑体" w:hAnsi="宋体" w:eastAsia="黑体" w:cs="Times New Roman"/>
          <w:sz w:val="32"/>
          <w:szCs w:val="32"/>
          <w:highlight w:val="none"/>
          <w:lang w:val="en-US" w:eastAsia="zh-CN" w:bidi="ar-SA"/>
        </w:rPr>
        <w:t>四、全球撮合家</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sz w:val="32"/>
          <w:szCs w:val="32"/>
          <w:highlight w:val="none"/>
          <w:lang w:eastAsia="zh-CN" w:bidi="ar-SA"/>
        </w:rPr>
        <w:t>建设银行“全球撮合家”平台。主要借助金融科技的应用，对跨境交易场景下的海量数据，从供给和需求的角度进行精准匹配和智能推送，为企业跨境贸易、投资、项目合作提供信息发布、需求撮合和商机推荐；同时依托建行跨时区、多币种、集团全牌照的专业优势，配套提供全方位金融解决方案。平台涵盖“需求发布”“需求库搜索”“智能跨境撮合”和“企业中心”等主要功能，以及“活动大厅”“资讯大厅”“特色专区”等配套版块，支持中英文网站和手机APP 使用，提供在线机器翻译等服务。目前，该平台免费使用。</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val="en-US" w:eastAsia="zh-CN" w:bidi="ar-SA"/>
        </w:rPr>
      </w:pPr>
      <w:r>
        <w:rPr>
          <w:rFonts w:hint="eastAsia" w:ascii="黑体" w:hAnsi="宋体" w:eastAsia="黑体" w:cs="Times New Roman"/>
          <w:sz w:val="32"/>
          <w:szCs w:val="32"/>
          <w:highlight w:val="none"/>
          <w:lang w:val="en-US" w:eastAsia="zh-CN" w:bidi="ar-SA"/>
        </w:rPr>
        <w:t>五、跨境融资</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sz w:val="32"/>
          <w:szCs w:val="32"/>
          <w:highlight w:val="none"/>
          <w:lang w:eastAsia="zh-CN" w:bidi="ar-SA"/>
        </w:rPr>
        <w:t>经过多年的发展，建设银行在全球主要经济中心，贸易中心都设立了分支机构和子公司，能为我们的客户提供充足的贷款规模及低成本的资金支持。建行丰富的跨境融资产品可以满足客户贸易融资、项目融资、生产经营周转或者临时性资金等信贷需求。</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val="en-US" w:eastAsia="zh-CN" w:bidi="ar-SA"/>
        </w:rPr>
      </w:pPr>
      <w:r>
        <w:rPr>
          <w:rFonts w:hint="eastAsia" w:ascii="黑体" w:hAnsi="宋体" w:eastAsia="黑体" w:cs="Times New Roman"/>
          <w:sz w:val="32"/>
          <w:szCs w:val="32"/>
          <w:highlight w:val="none"/>
          <w:lang w:val="en-US" w:eastAsia="zh-CN" w:bidi="ar-SA"/>
        </w:rPr>
        <w:t>六、跨境e汇</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sz w:val="32"/>
          <w:szCs w:val="32"/>
          <w:highlight w:val="none"/>
          <w:lang w:eastAsia="zh-CN" w:bidi="ar-SA"/>
        </w:rPr>
        <w:t>“跨境e汇”是指企业通过建行“跨境e+”平台办理进出口项下业务，包括：进口付汇、出口收汇、跨境人民币收付汇、结售汇、国际收支申报等，企业无需前往银行提交资料，尊享建行线上全流程的外汇网银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3" w:firstLineChars="200"/>
        <w:textAlignment w:val="auto"/>
        <w:outlineLvl w:val="9"/>
        <w:rPr>
          <w:rFonts w:hint="eastAsia" w:ascii="仿宋_GB2312" w:hAnsi="宋体" w:eastAsia="仿宋_GB2312" w:cs="Times New Roman"/>
          <w:sz w:val="32"/>
          <w:szCs w:val="32"/>
          <w:highlight w:val="none"/>
          <w:lang w:eastAsia="zh-CN" w:bidi="ar-SA"/>
        </w:rPr>
      </w:pPr>
      <w:r>
        <w:rPr>
          <w:rFonts w:hint="eastAsia" w:ascii="仿宋_GB2312" w:hAnsi="宋体" w:eastAsia="仿宋_GB2312" w:cs="Times New Roman"/>
          <w:b/>
          <w:bCs/>
          <w:sz w:val="32"/>
          <w:szCs w:val="32"/>
          <w:highlight w:val="none"/>
          <w:lang w:eastAsia="zh-CN" w:bidi="ar-SA"/>
        </w:rPr>
        <w:t>产品优势：</w:t>
      </w:r>
      <w:r>
        <w:rPr>
          <w:rFonts w:hint="eastAsia" w:ascii="仿宋_GB2312" w:hAnsi="宋体" w:eastAsia="仿宋_GB2312" w:cs="Times New Roman"/>
          <w:sz w:val="32"/>
          <w:szCs w:val="32"/>
          <w:highlight w:val="none"/>
          <w:lang w:eastAsia="zh-CN" w:bidi="ar-SA"/>
        </w:rPr>
        <w:t>智能模板，一次汇款，永久记忆；批量汇款，模板导入，省时省心；T+0跨境收付款，到账及时真无忧；7*24小时操作，无惧风雨；本外币账户实时查询，短信提醒。</w:t>
      </w:r>
    </w:p>
    <w:p>
      <w:pPr>
        <w:pStyle w:val="4"/>
        <w:spacing w:line="560" w:lineRule="exact"/>
        <w:ind w:firstLine="420" w:firstLineChars="200"/>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5"/>
        <w:rPr>
          <w:rFonts w:ascii="彩虹粗仿宋" w:hAnsi="宋体" w:cs="彩虹粗仿宋"/>
          <w:snapToGrid w:val="0"/>
          <w:kern w:val="0"/>
          <w:szCs w:val="28"/>
          <w:highlight w:val="none"/>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highlight w:val="none"/>
          <w:lang w:val="en-US" w:eastAsia="zh-CN"/>
        </w:rPr>
      </w:pPr>
      <w:r>
        <w:rPr>
          <w:rFonts w:hint="eastAsia" w:ascii="黑体" w:hAnsi="黑体" w:eastAsia="黑体" w:cs="黑体"/>
          <w:sz w:val="32"/>
          <w:szCs w:val="28"/>
          <w:highlight w:val="none"/>
          <w:lang w:val="en-US" w:eastAsia="zh-CN"/>
        </w:rPr>
        <w:t>附表</w:t>
      </w:r>
    </w:p>
    <w:p>
      <w:pPr>
        <w:pStyle w:val="5"/>
        <w:keepNext w:val="0"/>
        <w:keepLines w:val="0"/>
        <w:pageBreakBefore w:val="0"/>
        <w:widowControl w:val="0"/>
        <w:kinsoku/>
        <w:wordWrap/>
        <w:overflowPunct/>
        <w:topLinePunct w:val="0"/>
        <w:bidi w:val="0"/>
        <w:snapToGrid/>
        <w:spacing w:line="560" w:lineRule="exact"/>
        <w:textAlignment w:val="auto"/>
        <w:rPr>
          <w:rFonts w:hint="eastAsia"/>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Times New Roman"/>
          <w:spacing w:val="-11"/>
          <w:sz w:val="44"/>
          <w:szCs w:val="32"/>
          <w:highlight w:val="none"/>
          <w:lang w:bidi="ar-SA"/>
        </w:rPr>
      </w:pPr>
      <w:r>
        <w:rPr>
          <w:rFonts w:hint="eastAsia" w:ascii="方正小标宋简体" w:hAnsi="方正小标宋简体" w:eastAsia="方正小标宋简体" w:cs="Times New Roman"/>
          <w:spacing w:val="-11"/>
          <w:sz w:val="44"/>
          <w:szCs w:val="32"/>
          <w:highlight w:val="none"/>
          <w:lang w:bidi="ar-SA"/>
        </w:rPr>
        <w:t>建设银行佛山分行稳外贸业务主要对接人名单</w:t>
      </w:r>
    </w:p>
    <w:p>
      <w:pPr>
        <w:pStyle w:val="4"/>
        <w:keepNext w:val="0"/>
        <w:keepLines w:val="0"/>
        <w:pageBreakBefore w:val="0"/>
        <w:widowControl w:val="0"/>
        <w:kinsoku/>
        <w:wordWrap/>
        <w:overflowPunct/>
        <w:topLinePunct w:val="0"/>
        <w:bidi w:val="0"/>
        <w:snapToGrid/>
        <w:spacing w:line="560" w:lineRule="exact"/>
        <w:ind w:firstLine="803" w:firstLineChars="200"/>
        <w:jc w:val="center"/>
        <w:textAlignment w:val="auto"/>
        <w:rPr>
          <w:rFonts w:ascii="黑体" w:hAnsi="黑体" w:eastAsia="黑体"/>
          <w:b/>
          <w:sz w:val="40"/>
          <w:szCs w:val="44"/>
          <w:highlight w:val="none"/>
        </w:rPr>
      </w:pPr>
    </w:p>
    <w:tbl>
      <w:tblPr>
        <w:tblStyle w:val="2"/>
        <w:tblW w:w="0" w:type="auto"/>
        <w:tblInd w:w="5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1"/>
        <w:gridCol w:w="2820"/>
        <w:gridCol w:w="1984"/>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61" w:type="dxa"/>
            <w:tcBorders>
              <w:top w:val="single" w:color="auto" w:sz="4" w:space="0"/>
              <w:left w:val="single" w:color="auto" w:sz="4" w:space="0"/>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序号</w:t>
            </w:r>
          </w:p>
        </w:tc>
        <w:tc>
          <w:tcPr>
            <w:tcW w:w="2820" w:type="dxa"/>
            <w:tcBorders>
              <w:top w:val="single" w:color="auto" w:sz="4" w:space="0"/>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部门/支行</w:t>
            </w:r>
          </w:p>
        </w:tc>
        <w:tc>
          <w:tcPr>
            <w:tcW w:w="1984" w:type="dxa"/>
            <w:tcBorders>
              <w:top w:val="single" w:color="auto" w:sz="4" w:space="0"/>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主要对接人</w:t>
            </w:r>
          </w:p>
        </w:tc>
        <w:tc>
          <w:tcPr>
            <w:tcW w:w="2127" w:type="dxa"/>
            <w:tcBorders>
              <w:top w:val="single" w:color="auto" w:sz="4" w:space="0"/>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61" w:type="dxa"/>
            <w:tcBorders>
              <w:top w:val="nil"/>
              <w:left w:val="single" w:color="auto" w:sz="4" w:space="0"/>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w:t>
            </w:r>
          </w:p>
        </w:tc>
        <w:tc>
          <w:tcPr>
            <w:tcW w:w="2820" w:type="dxa"/>
            <w:tcBorders>
              <w:top w:val="nil"/>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外管政策、跨境e汇</w:t>
            </w:r>
          </w:p>
        </w:tc>
        <w:tc>
          <w:tcPr>
            <w:tcW w:w="1984" w:type="dxa"/>
            <w:tcBorders>
              <w:top w:val="nil"/>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叶文</w:t>
            </w:r>
          </w:p>
        </w:tc>
        <w:tc>
          <w:tcPr>
            <w:tcW w:w="2127" w:type="dxa"/>
            <w:tcBorders>
              <w:top w:val="nil"/>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0757-22977240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61" w:type="dxa"/>
            <w:tcBorders>
              <w:top w:val="nil"/>
              <w:left w:val="single" w:color="auto" w:sz="4" w:space="0"/>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2</w:t>
            </w:r>
          </w:p>
        </w:tc>
        <w:tc>
          <w:tcPr>
            <w:tcW w:w="2820" w:type="dxa"/>
            <w:tcBorders>
              <w:top w:val="nil"/>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跨境快贷、跨境融资</w:t>
            </w:r>
          </w:p>
        </w:tc>
        <w:tc>
          <w:tcPr>
            <w:tcW w:w="1984" w:type="dxa"/>
            <w:tcBorders>
              <w:top w:val="nil"/>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林丰</w:t>
            </w:r>
          </w:p>
        </w:tc>
        <w:tc>
          <w:tcPr>
            <w:tcW w:w="2127" w:type="dxa"/>
            <w:tcBorders>
              <w:top w:val="nil"/>
              <w:left w:val="nil"/>
              <w:bottom w:val="single" w:color="auto" w:sz="4" w:space="0"/>
              <w:right w:val="single" w:color="auto" w:sz="4" w:space="0"/>
            </w:tcBorders>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0757-22977229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61" w:type="dxa"/>
            <w:tcBorders>
              <w:top w:val="nil"/>
              <w:left w:val="single" w:color="auto" w:sz="4" w:space="0"/>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3</w:t>
            </w:r>
          </w:p>
        </w:tc>
        <w:tc>
          <w:tcPr>
            <w:tcW w:w="2820" w:type="dxa"/>
            <w:tcBorders>
              <w:top w:val="nil"/>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贸融易</w:t>
            </w:r>
          </w:p>
        </w:tc>
        <w:tc>
          <w:tcPr>
            <w:tcW w:w="1984" w:type="dxa"/>
            <w:tcBorders>
              <w:top w:val="nil"/>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彭思瑶</w:t>
            </w:r>
          </w:p>
        </w:tc>
        <w:tc>
          <w:tcPr>
            <w:tcW w:w="2127" w:type="dxa"/>
            <w:tcBorders>
              <w:top w:val="nil"/>
              <w:left w:val="nil"/>
              <w:bottom w:val="single" w:color="auto" w:sz="4" w:space="0"/>
              <w:right w:val="single" w:color="auto" w:sz="4" w:space="0"/>
            </w:tcBorders>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0757-22977230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61" w:type="dxa"/>
            <w:tcBorders>
              <w:top w:val="nil"/>
              <w:left w:val="single" w:color="auto" w:sz="4" w:space="0"/>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4</w:t>
            </w:r>
          </w:p>
        </w:tc>
        <w:tc>
          <w:tcPr>
            <w:tcW w:w="2820" w:type="dxa"/>
            <w:tcBorders>
              <w:top w:val="nil"/>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全球撮合家</w:t>
            </w:r>
          </w:p>
        </w:tc>
        <w:tc>
          <w:tcPr>
            <w:tcW w:w="1984" w:type="dxa"/>
            <w:tcBorders>
              <w:top w:val="nil"/>
              <w:left w:val="nil"/>
              <w:bottom w:val="single" w:color="auto" w:sz="4" w:space="0"/>
              <w:right w:val="single" w:color="auto" w:sz="4" w:space="0"/>
            </w:tcBorders>
            <w:noWrap w:val="0"/>
            <w:vAlign w:val="center"/>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林悦</w:t>
            </w:r>
          </w:p>
        </w:tc>
        <w:tc>
          <w:tcPr>
            <w:tcW w:w="2127" w:type="dxa"/>
            <w:tcBorders>
              <w:top w:val="nil"/>
              <w:left w:val="nil"/>
              <w:bottom w:val="single" w:color="auto" w:sz="4" w:space="0"/>
              <w:right w:val="single" w:color="auto" w:sz="4" w:space="0"/>
            </w:tcBorders>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0757-22977231</w:t>
            </w:r>
          </w:p>
        </w:tc>
      </w:tr>
    </w:tbl>
    <w:p>
      <w:pPr>
        <w:pStyle w:val="4"/>
        <w:spacing w:line="560" w:lineRule="exact"/>
        <w:ind w:firstLine="480" w:firstLineChars="200"/>
        <w:rPr>
          <w:rFonts w:ascii="彩虹粗仿宋" w:hAnsi="宋体" w:cs="彩虹粗仿宋"/>
          <w:snapToGrid w:val="0"/>
          <w:kern w:val="0"/>
          <w:sz w:val="24"/>
          <w:szCs w:val="28"/>
          <w:highlight w:val="none"/>
        </w:rPr>
      </w:pPr>
    </w:p>
    <w:p>
      <w:pPr>
        <w:pStyle w:val="5"/>
        <w:rPr>
          <w:rFonts w:hint="default" w:ascii="黑体" w:hAnsi="黑体" w:eastAsia="黑体" w:cs="黑体"/>
          <w:sz w:val="32"/>
          <w:szCs w:val="28"/>
          <w:highlight w:val="none"/>
          <w:lang w:val="en-US" w:eastAsia="zh-CN"/>
        </w:rPr>
      </w:pPr>
    </w:p>
    <w:p>
      <w:pPr>
        <w:pStyle w:val="5"/>
        <w:rPr>
          <w:rFonts w:hint="eastAsia" w:ascii="仿宋_GB2312" w:hAnsi="仿宋_GB2312" w:eastAsia="仿宋_GB2312"/>
          <w:sz w:val="28"/>
          <w:szCs w:val="28"/>
          <w:highlight w:val="none"/>
          <w:lang w:eastAsia="zh-CN"/>
        </w:rPr>
      </w:pPr>
    </w:p>
    <w:p>
      <w:pPr>
        <w:pStyle w:val="5"/>
        <w:rPr>
          <w:rFonts w:hint="eastAsia" w:ascii="仿宋_GB2312" w:hAnsi="仿宋_GB2312" w:eastAsia="仿宋_GB2312"/>
          <w:sz w:val="28"/>
          <w:szCs w:val="28"/>
          <w:highlight w:val="none"/>
          <w:lang w:eastAsia="zh-CN"/>
        </w:rPr>
      </w:pPr>
    </w:p>
    <w:p>
      <w:pPr>
        <w:pStyle w:val="5"/>
        <w:rPr>
          <w:rFonts w:hint="eastAsia" w:ascii="仿宋_GB2312" w:hAnsi="仿宋_GB2312" w:eastAsia="仿宋_GB2312"/>
          <w:sz w:val="28"/>
          <w:szCs w:val="28"/>
          <w:highlight w:val="none"/>
          <w:lang w:eastAsia="zh-CN"/>
        </w:rPr>
      </w:pPr>
    </w:p>
    <w:p>
      <w:pPr>
        <w:pStyle w:val="5"/>
        <w:rPr>
          <w:rFonts w:hint="eastAsia" w:ascii="仿宋_GB2312" w:hAnsi="仿宋_GB2312" w:eastAsia="仿宋_GB2312"/>
          <w:sz w:val="28"/>
          <w:szCs w:val="28"/>
          <w:highlight w:val="none"/>
          <w:lang w:eastAsia="zh-CN"/>
        </w:rPr>
      </w:pPr>
    </w:p>
    <w:p>
      <w:pPr>
        <w:pStyle w:val="5"/>
        <w:rPr>
          <w:rFonts w:hint="eastAsia" w:ascii="仿宋_GB2312" w:hAnsi="仿宋_GB2312" w:eastAsia="仿宋_GB2312"/>
          <w:sz w:val="28"/>
          <w:szCs w:val="28"/>
          <w:highlight w:val="none"/>
          <w:lang w:eastAsia="zh-CN"/>
        </w:rPr>
      </w:pPr>
    </w:p>
    <w:p>
      <w:pPr>
        <w:pStyle w:val="5"/>
        <w:rPr>
          <w:rFonts w:hint="eastAsia" w:ascii="仿宋_GB2312" w:hAnsi="仿宋_GB2312" w:eastAsia="仿宋_GB2312"/>
          <w:sz w:val="28"/>
          <w:szCs w:val="28"/>
          <w:highlight w:val="none"/>
          <w:lang w:eastAsia="zh-CN"/>
        </w:rPr>
      </w:pPr>
    </w:p>
    <w:p>
      <w:pPr>
        <w:pStyle w:val="5"/>
        <w:rPr>
          <w:rFonts w:hint="eastAsia" w:ascii="仿宋_GB2312" w:hAnsi="仿宋_GB2312" w:eastAsia="仿宋_GB2312"/>
          <w:sz w:val="28"/>
          <w:szCs w:val="28"/>
          <w:highlight w:val="none"/>
          <w:lang w:eastAsia="zh-CN"/>
        </w:rPr>
      </w:pPr>
    </w:p>
    <w:p>
      <w:pPr>
        <w:pStyle w:val="5"/>
        <w:rPr>
          <w:rFonts w:hint="eastAsia" w:ascii="仿宋_GB2312" w:hAnsi="仿宋_GB2312" w:eastAsia="仿宋_GB2312"/>
          <w:sz w:val="28"/>
          <w:szCs w:val="28"/>
          <w:highlight w:val="none"/>
          <w:lang w:eastAsia="zh-CN"/>
        </w:rPr>
      </w:pPr>
    </w:p>
    <w:p>
      <w:pPr>
        <w:pStyle w:val="5"/>
        <w:rPr>
          <w:rFonts w:hint="eastAsia" w:ascii="仿宋_GB2312" w:hAnsi="仿宋_GB2312" w:eastAsia="仿宋_GB2312"/>
          <w:sz w:val="28"/>
          <w:szCs w:val="28"/>
          <w:highlight w:val="none"/>
          <w:lang w:eastAsia="zh-CN"/>
        </w:rPr>
      </w:pPr>
    </w:p>
    <w:p>
      <w:pPr>
        <w:pStyle w:val="5"/>
        <w:rPr>
          <w:rFonts w:hint="eastAsia" w:ascii="仿宋_GB2312" w:hAnsi="仿宋_GB2312" w:eastAsia="仿宋_GB2312"/>
          <w:sz w:val="28"/>
          <w:szCs w:val="28"/>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F3BAE"/>
    <w:rsid w:val="35CF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w:next w:val="5"/>
    <w:uiPriority w:val="0"/>
    <w:pPr>
      <w:widowControl w:val="0"/>
      <w:jc w:val="both"/>
    </w:pPr>
    <w:rPr>
      <w:rFonts w:ascii="Calibri" w:hAnsi="Calibri" w:eastAsia="宋体" w:cs="Times New Roman"/>
      <w:kern w:val="2"/>
      <w:sz w:val="21"/>
      <w:lang w:val="en-US" w:eastAsia="zh-CN"/>
    </w:rPr>
  </w:style>
  <w:style w:type="paragraph" w:customStyle="1" w:styleId="5">
    <w:name w:val="Defaul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6">
    <w:name w:val="正文 New New New New New New New New"/>
    <w:uiPriority w:val="0"/>
    <w:pPr>
      <w:widowControl w:val="0"/>
      <w:jc w:val="both"/>
    </w:pPr>
    <w:rPr>
      <w:rFonts w:ascii="Times New Roman" w:hAnsi="Times New Roman" w:eastAsia="宋体" w:cs="Times New Roman"/>
      <w:kern w:val="2"/>
      <w:sz w:val="21"/>
      <w:szCs w:val="20"/>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2020-06-10T09:24:00Z</dcterms:created>
  <dc:creator>liuyi</dc:creator>
  <cp:lastModifiedBy>liuyi</cp:lastModifiedBy>
  <dcterms:modified xsi:type="dcterms:W3CDTF">2020-06-10T09:25:54Z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